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E72E43" w:rsidTr="00E72E43">
        <w:trPr>
          <w:cantSplit/>
          <w:trHeight w:val="1937"/>
          <w:tblHeader/>
        </w:trPr>
        <w:tc>
          <w:tcPr>
            <w:tcW w:w="4244" w:type="dxa"/>
            <w:gridSpan w:val="2"/>
            <w:shd w:val="clear" w:color="auto" w:fill="DBE5F1" w:themeFill="accent1" w:themeFillTint="33"/>
            <w:vAlign w:val="center"/>
          </w:tcPr>
          <w:p w:rsidR="00E72E43" w:rsidRPr="00231A08" w:rsidRDefault="00E72E43" w:rsidP="00E72E43">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E72E43" w:rsidRDefault="00E72E43" w:rsidP="00E72E43">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E72E43" w:rsidRPr="00231A08" w:rsidRDefault="00E72E43" w:rsidP="00E72E43">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Еврейская АО</w:t>
            </w:r>
          </w:p>
        </w:tc>
        <w:tc>
          <w:tcPr>
            <w:tcW w:w="386" w:type="dxa"/>
            <w:shd w:val="clear" w:color="auto" w:fill="DBE5F1" w:themeFill="accent1" w:themeFillTint="33"/>
            <w:textDirection w:val="btLr"/>
            <w:vAlign w:val="bottom"/>
          </w:tcPr>
          <w:p w:rsidR="00E72E43" w:rsidRPr="001320C2" w:rsidRDefault="00E72E43" w:rsidP="00E72E43">
            <w:pPr>
              <w:ind w:left="-113" w:right="-113"/>
              <w:jc w:val="center"/>
              <w:rPr>
                <w:rFonts w:ascii="Arial Narrow" w:hAnsi="Arial Narrow"/>
                <w:iCs/>
                <w:sz w:val="18"/>
                <w:szCs w:val="18"/>
              </w:rPr>
            </w:pPr>
            <w:r w:rsidRPr="001320C2">
              <w:rPr>
                <w:rFonts w:ascii="Arial Narrow" w:hAnsi="Arial Narrow"/>
                <w:iCs/>
                <w:sz w:val="18"/>
                <w:szCs w:val="18"/>
              </w:rPr>
              <w:t>Чукотский АО</w:t>
            </w:r>
          </w:p>
        </w:tc>
        <w:tc>
          <w:tcPr>
            <w:tcW w:w="2002" w:type="dxa"/>
            <w:shd w:val="clear" w:color="auto" w:fill="DBE5F1" w:themeFill="accent1" w:themeFillTint="33"/>
            <w:vAlign w:val="center"/>
          </w:tcPr>
          <w:p w:rsidR="00E72E43" w:rsidRPr="001F2F0A" w:rsidRDefault="00E72E43" w:rsidP="00E72E43">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E72E43" w:rsidTr="00E72E43">
        <w:trPr>
          <w:trHeight w:val="212"/>
        </w:trPr>
        <w:tc>
          <w:tcPr>
            <w:tcW w:w="10490" w:type="dxa"/>
            <w:gridSpan w:val="14"/>
            <w:shd w:val="clear" w:color="auto" w:fill="DBE5F1" w:themeFill="accent1" w:themeFillTint="33"/>
            <w:vAlign w:val="center"/>
          </w:tcPr>
          <w:p w:rsidR="00E72E43" w:rsidRPr="00A025A2" w:rsidRDefault="00E72E43" w:rsidP="00E72E43">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-май 2020</w:t>
            </w:r>
            <w:r w:rsidRPr="00A025A2">
              <w:rPr>
                <w:rFonts w:ascii="Arial Narrow" w:hAnsi="Arial Narrow"/>
                <w:b/>
                <w:color w:val="1F497D" w:themeColor="text2"/>
              </w:rPr>
              <w:t xml:space="preserve"> года</w:t>
            </w:r>
          </w:p>
        </w:tc>
      </w:tr>
      <w:tr w:rsidR="00E72E43" w:rsidTr="00E72E43">
        <w:trPr>
          <w:cantSplit/>
          <w:trHeight w:val="882"/>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E72E43" w:rsidRPr="009A188A" w:rsidRDefault="00E72E43" w:rsidP="00E72E43">
            <w:pPr>
              <w:jc w:val="center"/>
              <w:rPr>
                <w:rFonts w:ascii="Arial Narrow" w:hAnsi="Arial Narrow"/>
                <w:b/>
              </w:rPr>
            </w:pPr>
            <w:r>
              <w:rPr>
                <w:rFonts w:ascii="Arial Narrow" w:hAnsi="Arial Narrow"/>
                <w:b/>
                <w:sz w:val="22"/>
                <w:szCs w:val="22"/>
              </w:rPr>
              <w:t xml:space="preserve">488250,2 </w:t>
            </w:r>
            <w:r w:rsidRPr="00EC4057">
              <w:rPr>
                <w:rFonts w:ascii="Arial Narrow" w:hAnsi="Arial Narrow"/>
                <w:b/>
                <w:sz w:val="22"/>
                <w:szCs w:val="22"/>
              </w:rPr>
              <w:t>млн. руб</w:t>
            </w:r>
            <w:r>
              <w:rPr>
                <w:rFonts w:ascii="Arial Narrow" w:hAnsi="Arial Narrow"/>
                <w:b/>
                <w:sz w:val="22"/>
                <w:szCs w:val="22"/>
              </w:rPr>
              <w:t>.</w:t>
            </w:r>
          </w:p>
        </w:tc>
        <w:tc>
          <w:tcPr>
            <w:tcW w:w="1125" w:type="dxa"/>
            <w:shd w:val="clear" w:color="auto" w:fill="FFC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E72E43" w:rsidRPr="00BA5CD7" w:rsidRDefault="00E72E43" w:rsidP="00E72E43">
            <w:pPr>
              <w:ind w:left="-99"/>
              <w:rPr>
                <w:rFonts w:ascii="Arial Narrow" w:hAnsi="Arial Narrow"/>
                <w:b/>
                <w:color w:val="1F497D" w:themeColor="text2"/>
                <w:sz w:val="2"/>
                <w:szCs w:val="2"/>
              </w:rPr>
            </w:pPr>
            <w:r w:rsidRPr="009E2044">
              <w:rPr>
                <w:rFonts w:ascii="Arial Narrow" w:hAnsi="Arial Narrow"/>
                <w:b/>
                <w:noProof/>
                <w:color w:val="1F497D" w:themeColor="text2"/>
                <w:sz w:val="2"/>
                <w:szCs w:val="2"/>
              </w:rPr>
              <w:drawing>
                <wp:inline distT="0" distB="0" distL="0" distR="0">
                  <wp:extent cx="2657475" cy="55245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E72E43" w:rsidRPr="002700C4" w:rsidRDefault="00E72E43" w:rsidP="00E72E43">
            <w:pPr>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849950,8 </w:t>
            </w:r>
            <w:r w:rsidRPr="002700C4">
              <w:rPr>
                <w:rFonts w:ascii="Arial Narrow" w:hAnsi="Arial Narrow"/>
                <w:sz w:val="18"/>
                <w:szCs w:val="18"/>
              </w:rPr>
              <w:t>млн. руб</w:t>
            </w:r>
            <w:r>
              <w:rPr>
                <w:rFonts w:ascii="Arial Narrow" w:hAnsi="Arial Narrow"/>
                <w:sz w:val="18"/>
                <w:szCs w:val="18"/>
              </w:rPr>
              <w:t>.</w:t>
            </w:r>
          </w:p>
          <w:p w:rsidR="00E72E43" w:rsidRPr="002700C4" w:rsidRDefault="00E72E43" w:rsidP="00E72E43">
            <w:pPr>
              <w:jc w:val="center"/>
              <w:rPr>
                <w:rFonts w:ascii="Arial Narrow" w:hAnsi="Arial Narrow"/>
                <w:sz w:val="18"/>
                <w:szCs w:val="18"/>
              </w:rPr>
            </w:pPr>
            <w:r w:rsidRPr="002700C4">
              <w:rPr>
                <w:rFonts w:ascii="Arial Narrow" w:hAnsi="Arial Narrow"/>
                <w:sz w:val="18"/>
                <w:szCs w:val="18"/>
              </w:rPr>
              <w:t xml:space="preserve">11 место: Еврейская АО – </w:t>
            </w:r>
            <w:r>
              <w:rPr>
                <w:rFonts w:ascii="Arial Narrow" w:hAnsi="Arial Narrow"/>
                <w:sz w:val="18"/>
                <w:szCs w:val="18"/>
              </w:rPr>
              <w:t xml:space="preserve">30909,6 </w:t>
            </w:r>
            <w:r w:rsidRPr="002700C4">
              <w:rPr>
                <w:rFonts w:ascii="Arial Narrow" w:hAnsi="Arial Narrow"/>
                <w:sz w:val="18"/>
                <w:szCs w:val="18"/>
              </w:rPr>
              <w:t>млн. руб</w:t>
            </w:r>
            <w:r>
              <w:rPr>
                <w:rFonts w:ascii="Arial Narrow" w:hAnsi="Arial Narrow"/>
                <w:sz w:val="18"/>
                <w:szCs w:val="18"/>
              </w:rPr>
              <w:t>.</w:t>
            </w:r>
          </w:p>
        </w:tc>
      </w:tr>
      <w:tr w:rsidR="00E72E43" w:rsidTr="00E72E43">
        <w:trPr>
          <w:cantSplit/>
          <w:trHeight w:val="1038"/>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Объем продукции </w:t>
            </w:r>
          </w:p>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E72E43" w:rsidRPr="00EC4057" w:rsidRDefault="00E72E43" w:rsidP="00E72E43">
            <w:pPr>
              <w:jc w:val="center"/>
              <w:rPr>
                <w:rFonts w:ascii="Arial Narrow" w:hAnsi="Arial Narrow"/>
                <w:b/>
                <w:sz w:val="22"/>
                <w:szCs w:val="22"/>
              </w:rPr>
            </w:pPr>
            <w:r>
              <w:rPr>
                <w:rFonts w:ascii="Arial Narrow" w:hAnsi="Arial Narrow"/>
                <w:b/>
                <w:sz w:val="22"/>
                <w:szCs w:val="22"/>
              </w:rPr>
              <w:t>26080,</w:t>
            </w:r>
            <w:r w:rsidRPr="001E0258">
              <w:rPr>
                <w:rFonts w:ascii="Arial Narrow" w:hAnsi="Arial Narrow"/>
                <w:b/>
                <w:sz w:val="22"/>
                <w:szCs w:val="22"/>
              </w:rPr>
              <w:t>5</w:t>
            </w:r>
            <w:r>
              <w:rPr>
                <w:rFonts w:ascii="Arial Narrow" w:hAnsi="Arial Narrow"/>
                <w:b/>
                <w:sz w:val="22"/>
                <w:szCs w:val="22"/>
              </w:rPr>
              <w:t xml:space="preserve"> </w:t>
            </w:r>
            <w:r w:rsidRPr="00EC4057">
              <w:rPr>
                <w:rFonts w:ascii="Arial Narrow" w:hAnsi="Arial Narrow"/>
                <w:b/>
                <w:sz w:val="22"/>
                <w:szCs w:val="22"/>
              </w:rPr>
              <w:t>млн. руб</w:t>
            </w:r>
            <w:r>
              <w:rPr>
                <w:rFonts w:ascii="Arial Narrow" w:hAnsi="Arial Narrow"/>
                <w:b/>
                <w:sz w:val="22"/>
                <w:szCs w:val="22"/>
              </w:rPr>
              <w:t>.</w:t>
            </w:r>
          </w:p>
          <w:p w:rsidR="00E72E43" w:rsidRPr="00E50C31" w:rsidRDefault="00E72E43" w:rsidP="00E72E43">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декабр</w:t>
            </w:r>
            <w:r w:rsidRPr="00EC4057">
              <w:rPr>
                <w:rFonts w:ascii="Arial Narrow" w:hAnsi="Arial Narrow"/>
                <w:sz w:val="22"/>
                <w:szCs w:val="22"/>
              </w:rPr>
              <w:t>ь 2019 года</w:t>
            </w:r>
          </w:p>
        </w:tc>
        <w:tc>
          <w:tcPr>
            <w:tcW w:w="1125" w:type="dxa"/>
            <w:shd w:val="clear" w:color="auto" w:fill="92D050"/>
            <w:vAlign w:val="center"/>
          </w:tcPr>
          <w:p w:rsidR="00E72E43" w:rsidRPr="007A519E" w:rsidRDefault="00E72E43" w:rsidP="00E72E43">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E72E43" w:rsidRPr="00BA5CD7" w:rsidRDefault="00E72E43" w:rsidP="00E72E43">
            <w:pPr>
              <w:ind w:left="-85"/>
              <w:rPr>
                <w:rFonts w:ascii="Arial Narrow" w:hAnsi="Arial Narrow"/>
                <w:b/>
                <w:color w:val="1F497D" w:themeColor="text2"/>
                <w:sz w:val="2"/>
                <w:szCs w:val="2"/>
              </w:rPr>
            </w:pPr>
            <w:r w:rsidRPr="004C0843">
              <w:rPr>
                <w:rFonts w:ascii="Arial Narrow" w:hAnsi="Arial Narrow"/>
                <w:b/>
                <w:noProof/>
                <w:color w:val="1F497D" w:themeColor="text2"/>
                <w:sz w:val="2"/>
                <w:szCs w:val="2"/>
              </w:rPr>
              <w:drawing>
                <wp:inline distT="0" distB="0" distL="0" distR="0">
                  <wp:extent cx="2667000" cy="581025"/>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E72E43" w:rsidRDefault="00E72E43" w:rsidP="00E72E43">
            <w:pPr>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p>
          <w:p w:rsidR="00E72E43" w:rsidRPr="00E0142A" w:rsidRDefault="00E72E43" w:rsidP="00E72E43">
            <w:pPr>
              <w:jc w:val="center"/>
              <w:rPr>
                <w:rFonts w:ascii="Arial Narrow" w:hAnsi="Arial Narrow"/>
                <w:iCs/>
                <w:sz w:val="18"/>
                <w:szCs w:val="18"/>
              </w:rPr>
            </w:pPr>
            <w:r>
              <w:rPr>
                <w:rFonts w:ascii="Arial Narrow" w:hAnsi="Arial Narrow"/>
                <w:iCs/>
                <w:sz w:val="18"/>
                <w:szCs w:val="18"/>
              </w:rPr>
              <w:t>50722,</w:t>
            </w:r>
            <w:r w:rsidRPr="001E0258">
              <w:rPr>
                <w:rFonts w:ascii="Arial Narrow" w:hAnsi="Arial Narrow"/>
                <w:iCs/>
                <w:sz w:val="18"/>
                <w:szCs w:val="18"/>
              </w:rPr>
              <w:t>1</w:t>
            </w:r>
            <w:r w:rsidRPr="00A64801">
              <w:rPr>
                <w:rFonts w:ascii="Arial Narrow" w:hAnsi="Arial Narrow"/>
                <w:iCs/>
                <w:sz w:val="18"/>
                <w:szCs w:val="18"/>
              </w:rPr>
              <w:t xml:space="preserve"> </w:t>
            </w:r>
            <w:r>
              <w:rPr>
                <w:rFonts w:ascii="Arial Narrow" w:hAnsi="Arial Narrow"/>
                <w:iCs/>
                <w:sz w:val="18"/>
                <w:szCs w:val="18"/>
              </w:rPr>
              <w:t>млн. руб.</w:t>
            </w:r>
          </w:p>
          <w:p w:rsidR="00E72E43" w:rsidRPr="00E50C31" w:rsidRDefault="00E72E43" w:rsidP="00E72E43">
            <w:pPr>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Чукотск</w:t>
            </w:r>
            <w:r>
              <w:rPr>
                <w:rFonts w:ascii="Arial Narrow" w:hAnsi="Arial Narrow"/>
                <w:iCs/>
                <w:sz w:val="18"/>
                <w:szCs w:val="18"/>
              </w:rPr>
              <w:t>ий</w:t>
            </w:r>
            <w:r w:rsidRPr="00E0142A">
              <w:rPr>
                <w:rFonts w:ascii="Arial Narrow" w:hAnsi="Arial Narrow"/>
                <w:iCs/>
                <w:sz w:val="18"/>
                <w:szCs w:val="18"/>
              </w:rPr>
              <w:t xml:space="preserve"> АО – </w:t>
            </w:r>
            <w:r>
              <w:rPr>
                <w:rFonts w:ascii="Arial Narrow" w:hAnsi="Arial Narrow"/>
                <w:iCs/>
                <w:sz w:val="18"/>
                <w:szCs w:val="18"/>
              </w:rPr>
              <w:t>1544,</w:t>
            </w:r>
            <w:r w:rsidRPr="001E0258">
              <w:rPr>
                <w:rFonts w:ascii="Arial Narrow" w:hAnsi="Arial Narrow"/>
                <w:iCs/>
                <w:sz w:val="18"/>
                <w:szCs w:val="18"/>
              </w:rPr>
              <w:t>9</w:t>
            </w:r>
            <w:r>
              <w:rPr>
                <w:rFonts w:ascii="Arial Narrow" w:hAnsi="Arial Narrow"/>
                <w:iCs/>
                <w:sz w:val="18"/>
                <w:szCs w:val="18"/>
              </w:rPr>
              <w:t xml:space="preserve"> </w:t>
            </w:r>
            <w:r w:rsidRPr="00E0142A">
              <w:rPr>
                <w:rFonts w:ascii="Arial Narrow" w:hAnsi="Arial Narrow"/>
                <w:iCs/>
                <w:sz w:val="18"/>
                <w:szCs w:val="18"/>
              </w:rPr>
              <w:t>млн. руб</w:t>
            </w:r>
            <w:r>
              <w:rPr>
                <w:rFonts w:ascii="Arial Narrow" w:hAnsi="Arial Narrow"/>
                <w:iCs/>
                <w:sz w:val="18"/>
                <w:szCs w:val="18"/>
              </w:rPr>
              <w:t>.</w:t>
            </w:r>
          </w:p>
        </w:tc>
      </w:tr>
      <w:tr w:rsidR="00E72E43" w:rsidTr="00E72E43">
        <w:trPr>
          <w:cantSplit/>
          <w:trHeight w:val="1110"/>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Pr="00DE044A">
              <w:rPr>
                <w:rFonts w:ascii="Arial Narrow" w:hAnsi="Arial Narrow"/>
                <w:b/>
                <w:sz w:val="22"/>
                <w:szCs w:val="22"/>
              </w:rPr>
              <w:t>44079</w:t>
            </w:r>
            <w:r w:rsidRPr="00DE044A">
              <w:rPr>
                <w:rFonts w:ascii="Arial Narrow" w:hAnsi="Arial Narrow"/>
                <w:b/>
                <w:sz w:val="22"/>
                <w:szCs w:val="22"/>
                <w:lang w:val="sah-RU"/>
              </w:rPr>
              <w:t>,3</w:t>
            </w:r>
            <w:r>
              <w:rPr>
                <w:rFonts w:ascii="Arial Narrow" w:hAnsi="Arial Narrow"/>
                <w:sz w:val="22"/>
                <w:szCs w:val="22"/>
                <w:lang w:val="sah-RU"/>
              </w:rPr>
              <w:t xml:space="preserve"> </w:t>
            </w:r>
            <w:r w:rsidRPr="00EC4057">
              <w:rPr>
                <w:rFonts w:ascii="Arial Narrow" w:hAnsi="Arial Narrow"/>
                <w:b/>
                <w:sz w:val="22"/>
                <w:szCs w:val="22"/>
              </w:rPr>
              <w:t>млн. руб</w:t>
            </w:r>
            <w:r>
              <w:rPr>
                <w:rFonts w:ascii="Arial Narrow" w:hAnsi="Arial Narrow"/>
                <w:b/>
                <w:sz w:val="22"/>
                <w:szCs w:val="22"/>
              </w:rPr>
              <w:t>.</w:t>
            </w:r>
          </w:p>
          <w:p w:rsidR="00E72E43" w:rsidRPr="00E50C31" w:rsidRDefault="00E72E43" w:rsidP="00E72E43">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Pr>
                <w:rFonts w:ascii="Arial Narrow" w:hAnsi="Arial Narrow"/>
                <w:sz w:val="22"/>
                <w:szCs w:val="22"/>
              </w:rPr>
              <w:t>март</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E72E43" w:rsidRDefault="00E72E43" w:rsidP="00E72E43">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E72E43" w:rsidRPr="002968EB" w:rsidRDefault="00E72E43" w:rsidP="00E72E43">
            <w:pPr>
              <w:ind w:left="-99"/>
              <w:jc w:val="both"/>
              <w:rPr>
                <w:noProof/>
                <w:lang w:val="en-US"/>
              </w:rPr>
            </w:pPr>
            <w:r w:rsidRPr="00DE044A">
              <w:rPr>
                <w:noProof/>
              </w:rPr>
              <w:drawing>
                <wp:inline distT="0" distB="0" distL="0" distR="0">
                  <wp:extent cx="2667000" cy="666750"/>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E72E43" w:rsidRDefault="00E72E43" w:rsidP="00E72E43">
            <w:pPr>
              <w:jc w:val="center"/>
              <w:rPr>
                <w:rFonts w:ascii="Arial Narrow" w:hAnsi="Arial Narrow"/>
                <w:iCs/>
                <w:sz w:val="18"/>
                <w:szCs w:val="18"/>
              </w:rPr>
            </w:pPr>
            <w:r>
              <w:rPr>
                <w:rFonts w:ascii="Arial Narrow" w:hAnsi="Arial Narrow"/>
                <w:sz w:val="18"/>
                <w:szCs w:val="18"/>
              </w:rPr>
              <w:t>2</w:t>
            </w:r>
            <w:r w:rsidRPr="00E0142A">
              <w:rPr>
                <w:rFonts w:ascii="Arial Narrow" w:hAnsi="Arial Narrow"/>
                <w:sz w:val="18"/>
                <w:szCs w:val="18"/>
              </w:rPr>
              <w:t xml:space="preserve"> место</w:t>
            </w:r>
            <w:r>
              <w:rPr>
                <w:rFonts w:ascii="Arial Narrow" w:hAnsi="Arial Narrow"/>
                <w:sz w:val="18"/>
                <w:szCs w:val="18"/>
              </w:rPr>
              <w:t>:</w:t>
            </w:r>
            <w:r w:rsidRPr="00E0142A">
              <w:rPr>
                <w:rFonts w:ascii="Arial Narrow" w:hAnsi="Arial Narrow"/>
                <w:sz w:val="18"/>
                <w:szCs w:val="18"/>
              </w:rPr>
              <w:t xml:space="preserve"> </w:t>
            </w:r>
            <w:r w:rsidRPr="00E423E9">
              <w:rPr>
                <w:rFonts w:ascii="Arial Narrow" w:hAnsi="Arial Narrow"/>
                <w:sz w:val="18"/>
                <w:szCs w:val="18"/>
              </w:rPr>
              <w:t xml:space="preserve">Сахалинская </w:t>
            </w:r>
            <w:proofErr w:type="spellStart"/>
            <w:r w:rsidRPr="00E423E9">
              <w:rPr>
                <w:rFonts w:ascii="Arial Narrow" w:hAnsi="Arial Narrow"/>
                <w:sz w:val="18"/>
                <w:szCs w:val="18"/>
              </w:rPr>
              <w:t>област</w:t>
            </w:r>
            <w:proofErr w:type="spellEnd"/>
            <w:r>
              <w:rPr>
                <w:rFonts w:ascii="Arial Narrow" w:hAnsi="Arial Narrow"/>
                <w:sz w:val="18"/>
                <w:szCs w:val="18"/>
                <w:lang w:val="sah-RU"/>
              </w:rPr>
              <w:t xml:space="preserve">ь </w:t>
            </w:r>
            <w:r w:rsidRPr="00E0142A">
              <w:rPr>
                <w:rFonts w:ascii="Arial Narrow" w:hAnsi="Arial Narrow"/>
                <w:iCs/>
                <w:sz w:val="18"/>
                <w:szCs w:val="18"/>
              </w:rPr>
              <w:t xml:space="preserve">– </w:t>
            </w:r>
          </w:p>
          <w:p w:rsidR="00E72E43" w:rsidRPr="00E0142A" w:rsidRDefault="00E72E43" w:rsidP="00E72E43">
            <w:pPr>
              <w:jc w:val="center"/>
              <w:rPr>
                <w:rFonts w:ascii="Arial Narrow" w:hAnsi="Arial Narrow"/>
                <w:iCs/>
                <w:sz w:val="18"/>
                <w:szCs w:val="18"/>
              </w:rPr>
            </w:pPr>
            <w:r w:rsidRPr="00DE044A">
              <w:rPr>
                <w:rFonts w:ascii="Arial Narrow" w:hAnsi="Arial Narrow"/>
                <w:iCs/>
                <w:sz w:val="18"/>
                <w:szCs w:val="18"/>
              </w:rPr>
              <w:t>43800</w:t>
            </w:r>
            <w:r>
              <w:rPr>
                <w:rFonts w:ascii="Arial Narrow" w:hAnsi="Arial Narrow"/>
                <w:iCs/>
                <w:sz w:val="18"/>
                <w:szCs w:val="18"/>
                <w:lang w:val="sah-RU"/>
              </w:rPr>
              <w:t xml:space="preserve">,3 </w:t>
            </w:r>
            <w:r>
              <w:rPr>
                <w:rFonts w:ascii="Arial Narrow" w:hAnsi="Arial Narrow"/>
                <w:iCs/>
                <w:sz w:val="18"/>
                <w:szCs w:val="18"/>
              </w:rPr>
              <w:t>млн. руб.</w:t>
            </w:r>
          </w:p>
          <w:p w:rsidR="00E72E43" w:rsidRPr="00E0142A" w:rsidRDefault="00E72E43" w:rsidP="00E72E43">
            <w:pPr>
              <w:jc w:val="center"/>
              <w:rPr>
                <w:rFonts w:ascii="Arial Narrow" w:hAnsi="Arial Narrow"/>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w:t>
            </w:r>
            <w:r>
              <w:rPr>
                <w:rFonts w:ascii="Arial Narrow" w:hAnsi="Arial Narrow"/>
                <w:sz w:val="18"/>
                <w:szCs w:val="18"/>
              </w:rPr>
              <w:t>Еврейская АО</w:t>
            </w:r>
            <w:r w:rsidRPr="00E0142A">
              <w:rPr>
                <w:rFonts w:ascii="Arial Narrow" w:hAnsi="Arial Narrow"/>
                <w:iCs/>
                <w:sz w:val="18"/>
                <w:szCs w:val="18"/>
              </w:rPr>
              <w:t xml:space="preserve"> – </w:t>
            </w:r>
            <w:r w:rsidRPr="00DE044A">
              <w:rPr>
                <w:rFonts w:ascii="Arial Narrow" w:hAnsi="Arial Narrow"/>
                <w:iCs/>
                <w:sz w:val="18"/>
                <w:szCs w:val="18"/>
              </w:rPr>
              <w:t>1494</w:t>
            </w:r>
            <w:r>
              <w:rPr>
                <w:rFonts w:ascii="Arial Narrow" w:hAnsi="Arial Narrow"/>
                <w:iCs/>
                <w:sz w:val="18"/>
                <w:szCs w:val="18"/>
                <w:lang w:val="sah-RU"/>
              </w:rPr>
              <w:t xml:space="preserve">,9 </w:t>
            </w:r>
            <w:r w:rsidRPr="00E0142A">
              <w:rPr>
                <w:rFonts w:ascii="Arial Narrow" w:hAnsi="Arial Narrow"/>
                <w:iCs/>
                <w:sz w:val="18"/>
                <w:szCs w:val="18"/>
              </w:rPr>
              <w:t>млн. руб</w:t>
            </w:r>
            <w:r>
              <w:rPr>
                <w:rFonts w:ascii="Arial Narrow" w:hAnsi="Arial Narrow"/>
                <w:iCs/>
                <w:sz w:val="18"/>
                <w:szCs w:val="18"/>
              </w:rPr>
              <w:t>.</w:t>
            </w:r>
          </w:p>
        </w:tc>
      </w:tr>
      <w:tr w:rsidR="00E72E43" w:rsidTr="00E72E43">
        <w:trPr>
          <w:cantSplit/>
          <w:trHeight w:val="985"/>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Объем работ, выполненных по виду деятельности "Строительство" </w:t>
            </w:r>
            <w:r w:rsidRPr="00EC4057">
              <w:rPr>
                <w:rFonts w:ascii="Arial Narrow" w:hAnsi="Arial Narrow"/>
                <w:color w:val="000000" w:themeColor="text1"/>
                <w:sz w:val="22"/>
                <w:szCs w:val="22"/>
              </w:rPr>
              <w:t xml:space="preserve">– </w:t>
            </w:r>
          </w:p>
          <w:p w:rsidR="00E72E43" w:rsidRPr="009A188A" w:rsidRDefault="00E72E43" w:rsidP="00E72E43">
            <w:pPr>
              <w:jc w:val="center"/>
              <w:rPr>
                <w:rFonts w:ascii="Arial Narrow" w:hAnsi="Arial Narrow"/>
                <w:b/>
              </w:rPr>
            </w:pPr>
            <w:r>
              <w:rPr>
                <w:rFonts w:ascii="Arial Narrow" w:hAnsi="Arial Narrow"/>
                <w:b/>
                <w:sz w:val="22"/>
                <w:szCs w:val="22"/>
              </w:rPr>
              <w:t>41662,3</w:t>
            </w:r>
            <w:r>
              <w:rPr>
                <w:rFonts w:ascii="Arial Narrow" w:hAnsi="Arial Narrow"/>
                <w:b/>
                <w:sz w:val="22"/>
                <w:szCs w:val="22"/>
                <w:lang w:val="sah-RU"/>
              </w:rPr>
              <w:t xml:space="preserve"> </w:t>
            </w:r>
            <w:r w:rsidRPr="00EC4057">
              <w:rPr>
                <w:rFonts w:ascii="Arial Narrow" w:hAnsi="Arial Narrow"/>
                <w:b/>
                <w:sz w:val="22"/>
                <w:szCs w:val="22"/>
              </w:rPr>
              <w:t>млн. руб</w:t>
            </w:r>
            <w:r>
              <w:rPr>
                <w:rFonts w:ascii="Arial Narrow" w:hAnsi="Arial Narrow"/>
                <w:b/>
                <w:sz w:val="22"/>
                <w:szCs w:val="22"/>
              </w:rPr>
              <w:t>.</w:t>
            </w:r>
          </w:p>
        </w:tc>
        <w:tc>
          <w:tcPr>
            <w:tcW w:w="1125" w:type="dxa"/>
            <w:shd w:val="clear" w:color="auto" w:fill="92D050"/>
            <w:vAlign w:val="center"/>
          </w:tcPr>
          <w:p w:rsidR="00E72E43" w:rsidRPr="00D263BC" w:rsidRDefault="00E72E43" w:rsidP="00E72E43">
            <w:pPr>
              <w:jc w:val="center"/>
              <w:rPr>
                <w:rFonts w:ascii="Arial Narrow" w:hAnsi="Arial Narrow"/>
                <w:b/>
                <w:color w:val="1F497D" w:themeColor="text2"/>
              </w:rPr>
            </w:pPr>
            <w:r w:rsidRPr="00D263BC">
              <w:rPr>
                <w:rFonts w:ascii="Arial Narrow" w:hAnsi="Arial Narrow"/>
                <w:b/>
                <w:color w:val="1F497D" w:themeColor="text2"/>
              </w:rPr>
              <w:t>1 место</w:t>
            </w:r>
          </w:p>
        </w:tc>
        <w:tc>
          <w:tcPr>
            <w:tcW w:w="4244" w:type="dxa"/>
            <w:gridSpan w:val="11"/>
            <w:shd w:val="clear" w:color="auto" w:fill="DBE5F1" w:themeFill="accent1" w:themeFillTint="33"/>
            <w:vAlign w:val="center"/>
          </w:tcPr>
          <w:p w:rsidR="00E72E43" w:rsidRPr="00806740" w:rsidRDefault="00E72E43" w:rsidP="00E72E43">
            <w:pPr>
              <w:ind w:left="-85"/>
              <w:rPr>
                <w:rFonts w:ascii="Arial Narrow" w:hAnsi="Arial Narrow"/>
                <w:b/>
                <w:color w:val="1F497D" w:themeColor="text2"/>
                <w:sz w:val="2"/>
                <w:szCs w:val="2"/>
              </w:rPr>
            </w:pPr>
            <w:r w:rsidRPr="002B5AC6">
              <w:rPr>
                <w:rFonts w:ascii="Arial Narrow" w:hAnsi="Arial Narrow"/>
                <w:b/>
                <w:noProof/>
                <w:color w:val="1F497D" w:themeColor="text2"/>
                <w:sz w:val="2"/>
                <w:szCs w:val="2"/>
              </w:rPr>
              <w:drawing>
                <wp:inline distT="0" distB="0" distL="0" distR="0">
                  <wp:extent cx="2657475" cy="523875"/>
                  <wp:effectExtent l="0" t="0" r="0" b="0"/>
                  <wp:docPr id="45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E72E43" w:rsidRPr="00E61706" w:rsidRDefault="00E72E43" w:rsidP="00E72E43">
            <w:pPr>
              <w:jc w:val="center"/>
              <w:rPr>
                <w:rFonts w:ascii="Arial Narrow" w:hAnsi="Arial Narrow"/>
                <w:sz w:val="18"/>
                <w:szCs w:val="18"/>
              </w:rPr>
            </w:pPr>
            <w:r w:rsidRPr="00E61706">
              <w:rPr>
                <w:rFonts w:ascii="Arial Narrow" w:hAnsi="Arial Narrow"/>
                <w:sz w:val="18"/>
                <w:szCs w:val="18"/>
              </w:rPr>
              <w:t>2 место: Приморский край</w:t>
            </w:r>
            <w:r>
              <w:rPr>
                <w:rFonts w:ascii="Arial Narrow" w:hAnsi="Arial Narrow"/>
                <w:sz w:val="18"/>
                <w:szCs w:val="18"/>
              </w:rPr>
              <w:t xml:space="preserve"> </w:t>
            </w:r>
            <w:r w:rsidRPr="00E61706">
              <w:rPr>
                <w:rFonts w:ascii="Arial Narrow" w:hAnsi="Arial Narrow"/>
                <w:sz w:val="18"/>
                <w:szCs w:val="18"/>
              </w:rPr>
              <w:t>–</w:t>
            </w:r>
            <w:r>
              <w:t xml:space="preserve"> </w:t>
            </w:r>
            <w:r>
              <w:rPr>
                <w:rFonts w:ascii="Arial Narrow" w:hAnsi="Arial Narrow"/>
                <w:sz w:val="18"/>
                <w:szCs w:val="18"/>
              </w:rPr>
              <w:t>32241,</w:t>
            </w:r>
            <w:r w:rsidRPr="005E496B">
              <w:rPr>
                <w:rFonts w:ascii="Arial Narrow" w:hAnsi="Arial Narrow"/>
                <w:sz w:val="18"/>
                <w:szCs w:val="18"/>
              </w:rPr>
              <w:t>3</w:t>
            </w:r>
            <w:r>
              <w:rPr>
                <w:rFonts w:ascii="Arial Narrow" w:hAnsi="Arial Narrow"/>
                <w:sz w:val="18"/>
                <w:szCs w:val="18"/>
                <w:lang w:val="sah-RU"/>
              </w:rPr>
              <w:t xml:space="preserve"> </w:t>
            </w:r>
            <w:r>
              <w:rPr>
                <w:rFonts w:ascii="Arial Narrow" w:hAnsi="Arial Narrow"/>
                <w:sz w:val="18"/>
                <w:szCs w:val="18"/>
              </w:rPr>
              <w:t>млн. руб.</w:t>
            </w:r>
          </w:p>
          <w:p w:rsidR="00E72E43" w:rsidRPr="00E61706" w:rsidRDefault="00E72E43" w:rsidP="00E72E43">
            <w:pPr>
              <w:jc w:val="center"/>
              <w:rPr>
                <w:rFonts w:ascii="Arial Narrow" w:hAnsi="Arial Narrow"/>
                <w:b/>
                <w:sz w:val="18"/>
                <w:szCs w:val="18"/>
              </w:rPr>
            </w:pPr>
            <w:r w:rsidRPr="00E61706">
              <w:rPr>
                <w:rFonts w:ascii="Arial Narrow" w:hAnsi="Arial Narrow"/>
                <w:sz w:val="18"/>
                <w:szCs w:val="18"/>
              </w:rPr>
              <w:t xml:space="preserve">11 место: Чукотский АО – </w:t>
            </w:r>
            <w:r>
              <w:rPr>
                <w:rFonts w:ascii="Arial Narrow" w:hAnsi="Arial Narrow"/>
                <w:sz w:val="18"/>
                <w:szCs w:val="18"/>
              </w:rPr>
              <w:t xml:space="preserve">1607,7  </w:t>
            </w:r>
            <w:r w:rsidRPr="00E61706">
              <w:rPr>
                <w:rFonts w:ascii="Arial Narrow" w:hAnsi="Arial Narrow"/>
                <w:sz w:val="18"/>
                <w:szCs w:val="18"/>
              </w:rPr>
              <w:t>млн. руб</w:t>
            </w:r>
            <w:r>
              <w:rPr>
                <w:rFonts w:ascii="Arial Narrow" w:hAnsi="Arial Narrow"/>
                <w:sz w:val="18"/>
                <w:szCs w:val="18"/>
              </w:rPr>
              <w:t>.</w:t>
            </w:r>
          </w:p>
        </w:tc>
      </w:tr>
      <w:tr w:rsidR="00E72E43" w:rsidTr="00E72E43">
        <w:trPr>
          <w:cantSplit/>
          <w:trHeight w:val="987"/>
        </w:trPr>
        <w:tc>
          <w:tcPr>
            <w:tcW w:w="3119" w:type="dxa"/>
            <w:shd w:val="clear" w:color="auto" w:fill="DBE5F1" w:themeFill="accent1" w:themeFillTint="33"/>
            <w:vAlign w:val="center"/>
          </w:tcPr>
          <w:p w:rsidR="00E72E43" w:rsidRDefault="00E72E43" w:rsidP="00E72E43">
            <w:pPr>
              <w:jc w:val="center"/>
              <w:rPr>
                <w:rFonts w:ascii="Arial Narrow" w:hAnsi="Arial Narrow"/>
                <w:sz w:val="22"/>
                <w:szCs w:val="22"/>
              </w:rPr>
            </w:pPr>
            <w:r w:rsidRPr="00EC4057">
              <w:rPr>
                <w:rFonts w:ascii="Arial Narrow" w:hAnsi="Arial Narrow"/>
                <w:sz w:val="22"/>
                <w:szCs w:val="22"/>
              </w:rPr>
              <w:t xml:space="preserve">Ввод в действие </w:t>
            </w:r>
          </w:p>
          <w:p w:rsidR="00E72E43" w:rsidRDefault="00E72E43" w:rsidP="00E72E43">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Pr>
                <w:rFonts w:ascii="Arial Narrow" w:hAnsi="Arial Narrow"/>
                <w:b/>
                <w:sz w:val="22"/>
                <w:szCs w:val="22"/>
                <w:lang w:val="sah-RU"/>
              </w:rPr>
              <w:t xml:space="preserve">117,2 </w:t>
            </w:r>
            <w:r w:rsidRPr="00EC4057">
              <w:rPr>
                <w:rFonts w:ascii="Arial Narrow" w:hAnsi="Arial Narrow"/>
                <w:b/>
                <w:sz w:val="22"/>
                <w:szCs w:val="22"/>
              </w:rPr>
              <w:t xml:space="preserve">тыс.кв.м. </w:t>
            </w:r>
          </w:p>
          <w:p w:rsidR="00E72E43" w:rsidRPr="00EC4057" w:rsidRDefault="00E72E43" w:rsidP="00E72E43">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Pr="00806740" w:rsidRDefault="00E72E43" w:rsidP="00E72E43">
            <w:pPr>
              <w:ind w:left="-85"/>
              <w:rPr>
                <w:rFonts w:ascii="Arial Narrow" w:hAnsi="Arial Narrow"/>
                <w:b/>
                <w:color w:val="1F497D" w:themeColor="text2"/>
                <w:sz w:val="2"/>
                <w:szCs w:val="2"/>
              </w:rPr>
            </w:pPr>
            <w:r w:rsidRPr="0008353F">
              <w:rPr>
                <w:rFonts w:ascii="Arial Narrow" w:hAnsi="Arial Narrow"/>
                <w:b/>
                <w:noProof/>
                <w:color w:val="1F497D" w:themeColor="text2"/>
                <w:sz w:val="2"/>
                <w:szCs w:val="2"/>
              </w:rPr>
              <w:drawing>
                <wp:inline distT="0" distB="0" distL="0" distR="0">
                  <wp:extent cx="2657474" cy="781050"/>
                  <wp:effectExtent l="0" t="0" r="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E72E43" w:rsidRPr="00E61706" w:rsidRDefault="00E72E43" w:rsidP="00E72E43">
            <w:pPr>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r>
              <w:rPr>
                <w:rFonts w:ascii="Arial Narrow" w:hAnsi="Arial Narrow"/>
                <w:sz w:val="18"/>
                <w:szCs w:val="18"/>
              </w:rPr>
              <w:t xml:space="preserve"> </w:t>
            </w:r>
            <w:r w:rsidRPr="00E61706">
              <w:rPr>
                <w:rFonts w:ascii="Arial Narrow" w:hAnsi="Arial Narrow"/>
                <w:sz w:val="18"/>
                <w:szCs w:val="18"/>
              </w:rPr>
              <w:t>–</w:t>
            </w:r>
            <w:r>
              <w:rPr>
                <w:rFonts w:ascii="Arial Narrow" w:hAnsi="Arial Narrow"/>
                <w:sz w:val="18"/>
                <w:szCs w:val="18"/>
              </w:rPr>
              <w:t xml:space="preserve"> 201,1</w:t>
            </w:r>
            <w:r>
              <w:rPr>
                <w:rFonts w:ascii="Arial Narrow" w:hAnsi="Arial Narrow"/>
                <w:sz w:val="18"/>
                <w:szCs w:val="18"/>
                <w:lang w:val="sah-RU"/>
              </w:rPr>
              <w:t xml:space="preserve"> </w:t>
            </w:r>
            <w:r w:rsidRPr="00E61706">
              <w:rPr>
                <w:rFonts w:ascii="Arial Narrow" w:hAnsi="Arial Narrow"/>
                <w:sz w:val="18"/>
                <w:szCs w:val="18"/>
              </w:rPr>
              <w:t>тыс.кв.м. общ. площади</w:t>
            </w:r>
          </w:p>
          <w:p w:rsidR="00E72E43" w:rsidRDefault="00E72E43" w:rsidP="00E72E43">
            <w:pPr>
              <w:jc w:val="center"/>
              <w:rPr>
                <w:rFonts w:ascii="Arial Narrow" w:hAnsi="Arial Narrow"/>
                <w:sz w:val="18"/>
                <w:szCs w:val="18"/>
                <w:lang w:val="sah-RU"/>
              </w:rPr>
            </w:pPr>
            <w:r w:rsidRPr="00E61706">
              <w:rPr>
                <w:rFonts w:ascii="Arial Narrow" w:hAnsi="Arial Narrow"/>
                <w:sz w:val="18"/>
                <w:szCs w:val="18"/>
              </w:rPr>
              <w:t xml:space="preserve">11 место: Чукотский АО </w:t>
            </w:r>
            <w:r>
              <w:rPr>
                <w:rFonts w:ascii="Arial Narrow" w:hAnsi="Arial Narrow"/>
                <w:sz w:val="18"/>
                <w:szCs w:val="18"/>
              </w:rPr>
              <w:t>–</w:t>
            </w:r>
            <w:r w:rsidRPr="00E61706">
              <w:rPr>
                <w:rFonts w:ascii="Arial Narrow" w:hAnsi="Arial Narrow"/>
                <w:sz w:val="18"/>
                <w:szCs w:val="18"/>
              </w:rPr>
              <w:t xml:space="preserve"> </w:t>
            </w:r>
            <w:r>
              <w:rPr>
                <w:rFonts w:ascii="Arial Narrow" w:hAnsi="Arial Narrow"/>
                <w:sz w:val="18"/>
                <w:szCs w:val="18"/>
                <w:lang w:val="sah-RU"/>
              </w:rPr>
              <w:t xml:space="preserve">0,6 </w:t>
            </w:r>
            <w:r w:rsidRPr="00E61706">
              <w:rPr>
                <w:rFonts w:ascii="Arial Narrow" w:hAnsi="Arial Narrow"/>
                <w:sz w:val="18"/>
                <w:szCs w:val="18"/>
              </w:rPr>
              <w:t>тыс.кв.м</w:t>
            </w:r>
            <w:r>
              <w:rPr>
                <w:rFonts w:ascii="Arial Narrow" w:hAnsi="Arial Narrow"/>
                <w:sz w:val="18"/>
                <w:szCs w:val="18"/>
                <w:lang w:val="sah-RU"/>
              </w:rPr>
              <w:t>.</w:t>
            </w:r>
          </w:p>
          <w:p w:rsidR="00E72E43" w:rsidRPr="00CD5763" w:rsidRDefault="00E72E43" w:rsidP="00E72E43">
            <w:pPr>
              <w:jc w:val="center"/>
              <w:rPr>
                <w:rFonts w:ascii="Arial Narrow" w:hAnsi="Arial Narrow"/>
                <w:b/>
                <w:sz w:val="18"/>
                <w:szCs w:val="18"/>
                <w:lang w:val="sah-RU"/>
              </w:rPr>
            </w:pPr>
            <w:r>
              <w:rPr>
                <w:rFonts w:ascii="Arial Narrow" w:hAnsi="Arial Narrow"/>
                <w:sz w:val="18"/>
                <w:szCs w:val="18"/>
                <w:lang w:val="sah-RU"/>
              </w:rPr>
              <w:t xml:space="preserve"> </w:t>
            </w:r>
            <w:r w:rsidRPr="00E61706">
              <w:rPr>
                <w:rFonts w:ascii="Arial Narrow" w:hAnsi="Arial Narrow"/>
                <w:sz w:val="18"/>
                <w:szCs w:val="18"/>
              </w:rPr>
              <w:t>общ. площади</w:t>
            </w:r>
          </w:p>
        </w:tc>
      </w:tr>
      <w:tr w:rsidR="00E72E43" w:rsidTr="00E72E43">
        <w:trPr>
          <w:cantSplit/>
          <w:trHeight w:val="1031"/>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Сальдированный </w:t>
            </w:r>
          </w:p>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E72E43" w:rsidRPr="00EC4057" w:rsidRDefault="00E72E43" w:rsidP="00E72E43">
            <w:pPr>
              <w:jc w:val="center"/>
              <w:rPr>
                <w:rFonts w:ascii="Arial Narrow" w:hAnsi="Arial Narrow"/>
                <w:b/>
                <w:sz w:val="22"/>
                <w:szCs w:val="22"/>
              </w:rPr>
            </w:pPr>
            <w:r>
              <w:rPr>
                <w:rFonts w:ascii="Arial Narrow" w:hAnsi="Arial Narrow"/>
                <w:b/>
                <w:sz w:val="22"/>
                <w:szCs w:val="22"/>
              </w:rPr>
              <w:t xml:space="preserve">6332,9 </w:t>
            </w:r>
            <w:r w:rsidRPr="00EC4057">
              <w:rPr>
                <w:rFonts w:ascii="Arial Narrow" w:hAnsi="Arial Narrow"/>
                <w:b/>
                <w:sz w:val="22"/>
                <w:szCs w:val="22"/>
              </w:rPr>
              <w:t>млн. руб</w:t>
            </w:r>
            <w:r>
              <w:rPr>
                <w:rFonts w:ascii="Arial Narrow" w:hAnsi="Arial Narrow"/>
                <w:b/>
                <w:sz w:val="22"/>
                <w:szCs w:val="22"/>
              </w:rPr>
              <w:t>.</w:t>
            </w:r>
          </w:p>
          <w:p w:rsidR="00E72E43" w:rsidRPr="00C23E05" w:rsidRDefault="00E72E43" w:rsidP="00E72E43">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январь-март</w:t>
            </w:r>
            <w:r w:rsidRPr="00EC4057">
              <w:rPr>
                <w:rFonts w:ascii="Arial Narrow" w:hAnsi="Arial Narrow"/>
                <w:sz w:val="22"/>
                <w:szCs w:val="22"/>
              </w:rPr>
              <w:t xml:space="preserve"> 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bottom"/>
          </w:tcPr>
          <w:p w:rsidR="00E72E43" w:rsidRPr="00BA5CD7" w:rsidRDefault="00E72E43" w:rsidP="00E72E43">
            <w:pPr>
              <w:ind w:left="-85"/>
              <w:rPr>
                <w:rFonts w:ascii="Arial Narrow" w:hAnsi="Arial Narrow"/>
                <w:b/>
                <w:color w:val="1F497D" w:themeColor="text2"/>
                <w:sz w:val="2"/>
                <w:szCs w:val="2"/>
              </w:rPr>
            </w:pPr>
            <w:r w:rsidRPr="003831F0">
              <w:rPr>
                <w:rFonts w:ascii="Arial Narrow" w:hAnsi="Arial Narrow"/>
                <w:b/>
                <w:noProof/>
                <w:color w:val="1F497D" w:themeColor="text2"/>
                <w:sz w:val="2"/>
                <w:szCs w:val="2"/>
              </w:rPr>
              <w:drawing>
                <wp:inline distT="0" distB="0" distL="0" distR="0">
                  <wp:extent cx="2654490" cy="614149"/>
                  <wp:effectExtent l="0" t="0" r="0" b="0"/>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E72E43" w:rsidRPr="00E423E9" w:rsidRDefault="00E72E43" w:rsidP="00E72E43">
            <w:pPr>
              <w:jc w:val="center"/>
              <w:rPr>
                <w:rFonts w:ascii="Arial Narrow" w:hAnsi="Arial Narrow"/>
                <w:b/>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r>
              <w:rPr>
                <w:rFonts w:ascii="Arial Narrow" w:hAnsi="Arial Narrow"/>
                <w:sz w:val="18"/>
                <w:szCs w:val="18"/>
                <w:lang w:val="sah-RU"/>
              </w:rPr>
              <w:t xml:space="preserve">92512,7 </w:t>
            </w:r>
            <w:r>
              <w:rPr>
                <w:rFonts w:ascii="Arial Narrow" w:hAnsi="Arial Narrow"/>
                <w:sz w:val="18"/>
                <w:szCs w:val="18"/>
              </w:rPr>
              <w:t>млн. руб. 11 место: Амурская область – -52001,1 м</w:t>
            </w:r>
            <w:r w:rsidRPr="00E423E9">
              <w:rPr>
                <w:rFonts w:ascii="Arial Narrow" w:hAnsi="Arial Narrow"/>
                <w:sz w:val="18"/>
                <w:szCs w:val="18"/>
              </w:rPr>
              <w:t>лн. руб</w:t>
            </w:r>
            <w:r>
              <w:rPr>
                <w:rFonts w:ascii="Arial Narrow" w:hAnsi="Arial Narrow"/>
                <w:sz w:val="18"/>
                <w:szCs w:val="18"/>
              </w:rPr>
              <w:t>.</w:t>
            </w:r>
          </w:p>
        </w:tc>
      </w:tr>
      <w:tr w:rsidR="00E72E43" w:rsidTr="00E72E43">
        <w:trPr>
          <w:cantSplit/>
          <w:trHeight w:val="860"/>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Pr>
                <w:rFonts w:ascii="Arial Narrow" w:hAnsi="Arial Narrow"/>
                <w:b/>
                <w:sz w:val="22"/>
                <w:szCs w:val="22"/>
              </w:rPr>
              <w:t>49,2</w:t>
            </w:r>
            <w:r w:rsidRPr="00994D7C">
              <w:rPr>
                <w:rFonts w:ascii="Arial Narrow" w:hAnsi="Arial Narrow"/>
                <w:b/>
                <w:sz w:val="22"/>
                <w:szCs w:val="22"/>
              </w:rPr>
              <w:t xml:space="preserve"> </w:t>
            </w:r>
            <w:r w:rsidRPr="00EC4057">
              <w:rPr>
                <w:rFonts w:ascii="Arial Narrow" w:hAnsi="Arial Narrow"/>
                <w:b/>
                <w:sz w:val="22"/>
                <w:szCs w:val="22"/>
              </w:rPr>
              <w:t>%</w:t>
            </w:r>
          </w:p>
          <w:p w:rsidR="00E72E43" w:rsidRPr="00C23E05" w:rsidRDefault="00E72E43" w:rsidP="00E72E43">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-март</w:t>
            </w:r>
            <w:r w:rsidRPr="00EC4057">
              <w:rPr>
                <w:rFonts w:ascii="Arial Narrow" w:hAnsi="Arial Narrow"/>
                <w:sz w:val="22"/>
                <w:szCs w:val="22"/>
              </w:rPr>
              <w:t xml:space="preserve"> 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0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9</w:t>
            </w:r>
            <w:r>
              <w:rPr>
                <w:rFonts w:ascii="Arial Narrow" w:hAnsi="Arial Narrow"/>
                <w:b/>
                <w:color w:val="1F497D" w:themeColor="text2"/>
                <w:lang w:val="sah-RU"/>
              </w:rPr>
              <w:t xml:space="preserve">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E72E43" w:rsidRPr="00BA5CD7" w:rsidRDefault="00E72E43" w:rsidP="00E72E43">
            <w:pPr>
              <w:ind w:left="-85"/>
              <w:rPr>
                <w:rFonts w:ascii="Arial Narrow" w:hAnsi="Arial Narrow"/>
                <w:b/>
                <w:color w:val="1F497D" w:themeColor="text2"/>
                <w:sz w:val="2"/>
                <w:szCs w:val="2"/>
              </w:rPr>
            </w:pPr>
            <w:r w:rsidRPr="005A0F34">
              <w:rPr>
                <w:rFonts w:ascii="Arial Narrow" w:hAnsi="Arial Narrow"/>
                <w:b/>
                <w:noProof/>
                <w:color w:val="1F497D" w:themeColor="text2"/>
                <w:sz w:val="2"/>
                <w:szCs w:val="2"/>
              </w:rPr>
              <w:drawing>
                <wp:inline distT="0" distB="0" distL="0" distR="0">
                  <wp:extent cx="2654490" cy="443552"/>
                  <wp:effectExtent l="0" t="0" r="0"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E72E43" w:rsidRPr="00E423E9" w:rsidRDefault="00E72E43" w:rsidP="00E72E43">
            <w:pPr>
              <w:jc w:val="center"/>
              <w:rPr>
                <w:rFonts w:ascii="Arial Narrow" w:hAnsi="Arial Narrow"/>
                <w:sz w:val="18"/>
                <w:szCs w:val="18"/>
              </w:rPr>
            </w:pPr>
            <w:r w:rsidRPr="00E423E9">
              <w:rPr>
                <w:rFonts w:ascii="Arial Narrow" w:hAnsi="Arial Narrow"/>
                <w:sz w:val="18"/>
                <w:szCs w:val="18"/>
              </w:rPr>
              <w:t>1 место: Приморский 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33,9</w:t>
            </w:r>
            <w:r w:rsidRPr="00E423E9">
              <w:rPr>
                <w:rFonts w:ascii="Arial Narrow" w:hAnsi="Arial Narrow"/>
                <w:sz w:val="18"/>
                <w:szCs w:val="18"/>
              </w:rPr>
              <w:t>%</w:t>
            </w:r>
          </w:p>
          <w:p w:rsidR="00E72E43" w:rsidRPr="00E423E9" w:rsidRDefault="00E72E43" w:rsidP="00E72E43">
            <w:pPr>
              <w:jc w:val="center"/>
              <w:rPr>
                <w:rFonts w:ascii="Arial Narrow" w:hAnsi="Arial Narrow"/>
                <w:b/>
                <w:sz w:val="18"/>
                <w:szCs w:val="18"/>
              </w:rPr>
            </w:pPr>
            <w:r w:rsidRPr="00E423E9">
              <w:rPr>
                <w:rFonts w:ascii="Arial Narrow" w:hAnsi="Arial Narrow"/>
                <w:sz w:val="18"/>
                <w:szCs w:val="18"/>
              </w:rPr>
              <w:t>11 место: Чукотский АО</w:t>
            </w:r>
            <w:r w:rsidRPr="00F05891">
              <w:rPr>
                <w:rFonts w:ascii="Arial Narrow" w:hAnsi="Arial Narrow"/>
                <w:sz w:val="18"/>
                <w:szCs w:val="18"/>
              </w:rPr>
              <w:t xml:space="preserve"> </w:t>
            </w:r>
            <w:r w:rsidRPr="00E423E9">
              <w:rPr>
                <w:rFonts w:ascii="Arial Narrow" w:hAnsi="Arial Narrow"/>
                <w:sz w:val="18"/>
                <w:szCs w:val="18"/>
              </w:rPr>
              <w:t xml:space="preserve"> – </w:t>
            </w:r>
            <w:r>
              <w:rPr>
                <w:rFonts w:ascii="Arial Narrow" w:hAnsi="Arial Narrow"/>
                <w:sz w:val="18"/>
                <w:szCs w:val="18"/>
                <w:lang w:val="sah-RU"/>
              </w:rPr>
              <w:t>57,5</w:t>
            </w:r>
            <w:r w:rsidRPr="00E423E9">
              <w:rPr>
                <w:rFonts w:ascii="Arial Narrow" w:hAnsi="Arial Narrow"/>
                <w:sz w:val="18"/>
                <w:szCs w:val="18"/>
              </w:rPr>
              <w:t>%</w:t>
            </w:r>
          </w:p>
        </w:tc>
      </w:tr>
      <w:tr w:rsidR="00E72E43" w:rsidTr="00E72E43">
        <w:trPr>
          <w:cantSplit/>
          <w:trHeight w:val="876"/>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E72E43" w:rsidRPr="00E8174F" w:rsidRDefault="00E72E43" w:rsidP="00E72E43">
            <w:pPr>
              <w:jc w:val="center"/>
              <w:rPr>
                <w:rFonts w:ascii="Arial Narrow" w:hAnsi="Arial Narrow"/>
                <w:b/>
                <w:color w:val="000000" w:themeColor="text1"/>
                <w:sz w:val="22"/>
                <w:szCs w:val="22"/>
              </w:rPr>
            </w:pPr>
            <w:r>
              <w:rPr>
                <w:rFonts w:ascii="Arial Narrow" w:hAnsi="Arial Narrow"/>
                <w:b/>
                <w:color w:val="000000" w:themeColor="text1"/>
                <w:sz w:val="22"/>
                <w:szCs w:val="22"/>
              </w:rPr>
              <w:t>37973</w:t>
            </w:r>
            <w:r>
              <w:rPr>
                <w:rFonts w:ascii="Arial Narrow" w:hAnsi="Arial Narrow"/>
                <w:b/>
                <w:color w:val="000000" w:themeColor="text1"/>
                <w:sz w:val="22"/>
                <w:szCs w:val="22"/>
                <w:lang w:val="sah-RU"/>
              </w:rPr>
              <w:t>,</w:t>
            </w:r>
            <w:r w:rsidRPr="006A7606">
              <w:rPr>
                <w:rFonts w:ascii="Arial Narrow" w:hAnsi="Arial Narrow"/>
                <w:b/>
                <w:color w:val="000000" w:themeColor="text1"/>
                <w:sz w:val="22"/>
                <w:szCs w:val="22"/>
              </w:rPr>
              <w:t>9</w:t>
            </w:r>
            <w:r w:rsidRPr="00E8174F">
              <w:rPr>
                <w:rFonts w:ascii="Arial Narrow" w:hAnsi="Arial Narrow"/>
                <w:b/>
                <w:color w:val="000000" w:themeColor="text1"/>
                <w:sz w:val="22"/>
                <w:szCs w:val="22"/>
              </w:rPr>
              <w:t xml:space="preserve"> руб.  </w:t>
            </w:r>
          </w:p>
          <w:p w:rsidR="00E72E43" w:rsidRPr="00C23E05" w:rsidRDefault="00E72E43" w:rsidP="00E72E43">
            <w:pPr>
              <w:jc w:val="center"/>
              <w:rPr>
                <w:rFonts w:ascii="Arial Narrow" w:hAnsi="Arial Narrow"/>
                <w:sz w:val="22"/>
                <w:szCs w:val="22"/>
              </w:rPr>
            </w:pPr>
            <w:r w:rsidRPr="00EC4057">
              <w:rPr>
                <w:rFonts w:ascii="Arial Narrow" w:hAnsi="Arial Narrow"/>
                <w:sz w:val="22"/>
                <w:szCs w:val="22"/>
              </w:rPr>
              <w:t xml:space="preserve">за </w:t>
            </w:r>
            <w:r>
              <w:rPr>
                <w:rFonts w:ascii="Arial Narrow" w:hAnsi="Arial Narrow"/>
                <w:sz w:val="22"/>
                <w:szCs w:val="22"/>
                <w:lang w:val="sah-RU"/>
              </w:rPr>
              <w:t xml:space="preserve">1 квартал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w:t>
            </w:r>
            <w:r>
              <w:rPr>
                <w:rFonts w:ascii="Arial Narrow" w:hAnsi="Arial Narrow"/>
                <w:sz w:val="22"/>
                <w:szCs w:val="22"/>
              </w:rPr>
              <w:t>а</w:t>
            </w:r>
          </w:p>
        </w:tc>
        <w:tc>
          <w:tcPr>
            <w:tcW w:w="1125" w:type="dxa"/>
            <w:shd w:val="clear" w:color="auto" w:fill="FFC000"/>
            <w:vAlign w:val="center"/>
          </w:tcPr>
          <w:p w:rsidR="00E72E43" w:rsidRPr="00C35D26" w:rsidRDefault="00E72E43" w:rsidP="00E72E43">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E72E43" w:rsidRPr="007B422C" w:rsidRDefault="00E72E43" w:rsidP="00E72E43">
            <w:pPr>
              <w:ind w:left="-99"/>
              <w:rPr>
                <w:noProof/>
                <w:sz w:val="2"/>
                <w:szCs w:val="2"/>
              </w:rPr>
            </w:pPr>
            <w:r w:rsidRPr="006A7606">
              <w:rPr>
                <w:noProof/>
                <w:sz w:val="2"/>
                <w:szCs w:val="2"/>
              </w:rPr>
              <w:drawing>
                <wp:inline distT="0" distB="0" distL="0" distR="0">
                  <wp:extent cx="2657475" cy="609600"/>
                  <wp:effectExtent l="0" t="0" r="0" b="0"/>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E72E43" w:rsidRPr="00E423E9" w:rsidRDefault="00E72E43" w:rsidP="00E72E43">
            <w:pPr>
              <w:jc w:val="center"/>
              <w:rPr>
                <w:rFonts w:ascii="Arial Narrow" w:hAnsi="Arial Narrow"/>
                <w:sz w:val="18"/>
                <w:szCs w:val="18"/>
              </w:rPr>
            </w:pPr>
            <w:r w:rsidRPr="00E423E9">
              <w:rPr>
                <w:rFonts w:ascii="Arial Narrow" w:hAnsi="Arial Narrow"/>
                <w:sz w:val="18"/>
                <w:szCs w:val="18"/>
              </w:rPr>
              <w:t xml:space="preserve">1 место: Чукотский АО – </w:t>
            </w:r>
            <w:r w:rsidRPr="006A7606">
              <w:rPr>
                <w:rFonts w:ascii="Arial Narrow" w:hAnsi="Arial Narrow"/>
                <w:sz w:val="18"/>
                <w:szCs w:val="18"/>
              </w:rPr>
              <w:t>77677</w:t>
            </w:r>
            <w:r w:rsidRPr="008959CC">
              <w:rPr>
                <w:rFonts w:ascii="Arial Narrow" w:hAnsi="Arial Narrow"/>
                <w:sz w:val="18"/>
                <w:szCs w:val="18"/>
              </w:rPr>
              <w:t xml:space="preserve"> </w:t>
            </w:r>
            <w:r>
              <w:rPr>
                <w:rFonts w:ascii="Arial Narrow" w:hAnsi="Arial Narrow"/>
                <w:sz w:val="18"/>
                <w:szCs w:val="18"/>
              </w:rPr>
              <w:t>руб.</w:t>
            </w:r>
          </w:p>
          <w:p w:rsidR="00E72E43" w:rsidRPr="00E423E9" w:rsidRDefault="00E72E43" w:rsidP="00E72E43">
            <w:pPr>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Pr="006A7606">
              <w:rPr>
                <w:rFonts w:ascii="Arial Narrow" w:hAnsi="Arial Narrow"/>
                <w:sz w:val="18"/>
                <w:szCs w:val="18"/>
              </w:rPr>
              <w:t>23324</w:t>
            </w:r>
            <w:r w:rsidRPr="00CB4BCB">
              <w:rPr>
                <w:rFonts w:ascii="Arial Narrow" w:hAnsi="Arial Narrow"/>
                <w:sz w:val="18"/>
                <w:szCs w:val="18"/>
              </w:rPr>
              <w:t xml:space="preserve"> </w:t>
            </w:r>
            <w:r w:rsidRPr="00E423E9">
              <w:rPr>
                <w:rFonts w:ascii="Arial Narrow" w:hAnsi="Arial Narrow"/>
                <w:sz w:val="18"/>
                <w:szCs w:val="18"/>
              </w:rPr>
              <w:t>руб</w:t>
            </w:r>
            <w:r>
              <w:rPr>
                <w:rFonts w:ascii="Arial Narrow" w:hAnsi="Arial Narrow"/>
                <w:sz w:val="18"/>
                <w:szCs w:val="18"/>
              </w:rPr>
              <w:t>.</w:t>
            </w:r>
          </w:p>
        </w:tc>
      </w:tr>
      <w:tr w:rsidR="00E72E43" w:rsidTr="00E72E43">
        <w:trPr>
          <w:cantSplit/>
          <w:trHeight w:val="1204"/>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E72E43" w:rsidRPr="00EC4057" w:rsidRDefault="00E72E43" w:rsidP="00E72E43">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Pr>
                <w:rFonts w:ascii="Arial Narrow" w:hAnsi="Arial Narrow"/>
                <w:b/>
                <w:sz w:val="22"/>
                <w:szCs w:val="22"/>
              </w:rPr>
              <w:t>72346,3</w:t>
            </w:r>
            <w:r w:rsidRPr="00D350CF">
              <w:rPr>
                <w:rFonts w:ascii="Arial Narrow" w:hAnsi="Arial Narrow"/>
                <w:b/>
                <w:sz w:val="22"/>
                <w:szCs w:val="22"/>
              </w:rPr>
              <w:t xml:space="preserve"> </w:t>
            </w:r>
            <w:r>
              <w:rPr>
                <w:rFonts w:ascii="Arial Narrow" w:hAnsi="Arial Narrow"/>
                <w:b/>
                <w:sz w:val="22"/>
                <w:szCs w:val="22"/>
              </w:rPr>
              <w:t>руб.</w:t>
            </w:r>
          </w:p>
          <w:p w:rsidR="00E72E43" w:rsidRPr="009A188A" w:rsidRDefault="00E72E43" w:rsidP="00E72E43">
            <w:pPr>
              <w:jc w:val="center"/>
              <w:rPr>
                <w:rFonts w:ascii="Arial Narrow" w:hAnsi="Arial Narrow"/>
                <w:sz w:val="22"/>
                <w:szCs w:val="22"/>
              </w:rPr>
            </w:pPr>
            <w:r w:rsidRPr="00EC4057">
              <w:rPr>
                <w:rFonts w:ascii="Arial Narrow" w:hAnsi="Arial Narrow"/>
                <w:sz w:val="22"/>
                <w:szCs w:val="22"/>
              </w:rPr>
              <w:t xml:space="preserve">за </w:t>
            </w:r>
            <w:proofErr w:type="spellStart"/>
            <w:r>
              <w:rPr>
                <w:rFonts w:ascii="Arial Narrow" w:hAnsi="Arial Narrow"/>
                <w:sz w:val="22"/>
                <w:szCs w:val="22"/>
                <w:lang w:val="en-US"/>
              </w:rPr>
              <w:t>январь</w:t>
            </w:r>
            <w:proofErr w:type="spellEnd"/>
            <w:r>
              <w:rPr>
                <w:rFonts w:ascii="Arial Narrow" w:hAnsi="Arial Narrow"/>
                <w:sz w:val="22"/>
                <w:szCs w:val="22"/>
                <w:lang w:val="en-US"/>
              </w:rPr>
              <w:t>-</w:t>
            </w:r>
            <w:r>
              <w:rPr>
                <w:rFonts w:ascii="Arial Narrow" w:hAnsi="Arial Narrow"/>
                <w:sz w:val="22"/>
                <w:szCs w:val="22"/>
                <w:lang w:val="sah-RU"/>
              </w:rPr>
              <w:t>апрель</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E72E43" w:rsidRPr="00BA5CD7" w:rsidRDefault="00E72E43" w:rsidP="00E72E43">
            <w:pPr>
              <w:ind w:left="-85"/>
              <w:rPr>
                <w:rFonts w:ascii="Arial Narrow" w:hAnsi="Arial Narrow"/>
                <w:b/>
                <w:color w:val="1F497D" w:themeColor="text2"/>
                <w:sz w:val="2"/>
                <w:szCs w:val="2"/>
              </w:rPr>
            </w:pPr>
            <w:r w:rsidRPr="00DE2B6A">
              <w:rPr>
                <w:rFonts w:ascii="Arial Narrow" w:hAnsi="Arial Narrow"/>
                <w:b/>
                <w:noProof/>
                <w:color w:val="1F497D" w:themeColor="text2"/>
                <w:sz w:val="2"/>
                <w:szCs w:val="2"/>
              </w:rPr>
              <w:drawing>
                <wp:inline distT="0" distB="0" distL="0" distR="0">
                  <wp:extent cx="2661314" cy="723332"/>
                  <wp:effectExtent l="0" t="0" r="0" b="0"/>
                  <wp:docPr id="48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E72E43" w:rsidRPr="00E423E9" w:rsidRDefault="00E72E43" w:rsidP="00E72E43">
            <w:pPr>
              <w:jc w:val="center"/>
              <w:rPr>
                <w:rFonts w:ascii="Arial Narrow" w:hAnsi="Arial Narrow"/>
                <w:sz w:val="18"/>
                <w:szCs w:val="18"/>
              </w:rPr>
            </w:pPr>
            <w:r w:rsidRPr="00E423E9">
              <w:rPr>
                <w:rFonts w:ascii="Arial Narrow" w:hAnsi="Arial Narrow"/>
                <w:sz w:val="18"/>
                <w:szCs w:val="18"/>
              </w:rPr>
              <w:t>1 место: Чукотский АО –</w:t>
            </w:r>
            <w:r>
              <w:t xml:space="preserve"> </w:t>
            </w:r>
            <w:r w:rsidRPr="00AA1B3C">
              <w:rPr>
                <w:rFonts w:ascii="Arial Narrow" w:hAnsi="Arial Narrow"/>
                <w:sz w:val="18"/>
                <w:szCs w:val="18"/>
              </w:rPr>
              <w:t>1</w:t>
            </w:r>
            <w:r>
              <w:rPr>
                <w:rFonts w:ascii="Arial Narrow" w:hAnsi="Arial Narrow"/>
                <w:sz w:val="18"/>
                <w:szCs w:val="18"/>
              </w:rPr>
              <w:t>11892,0 руб.</w:t>
            </w:r>
          </w:p>
          <w:p w:rsidR="00E72E43" w:rsidRPr="00E423E9" w:rsidRDefault="00E72E43" w:rsidP="00E72E43">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39417,8 </w:t>
            </w:r>
            <w:r w:rsidRPr="00E423E9">
              <w:rPr>
                <w:rFonts w:ascii="Arial Narrow" w:hAnsi="Arial Narrow"/>
                <w:sz w:val="18"/>
                <w:szCs w:val="18"/>
              </w:rPr>
              <w:t>руб</w:t>
            </w:r>
            <w:r>
              <w:rPr>
                <w:rFonts w:ascii="Arial Narrow" w:hAnsi="Arial Narrow"/>
                <w:sz w:val="18"/>
                <w:szCs w:val="18"/>
              </w:rPr>
              <w:t>.</w:t>
            </w:r>
          </w:p>
        </w:tc>
      </w:tr>
      <w:tr w:rsidR="00E72E43" w:rsidTr="00E72E43">
        <w:trPr>
          <w:cantSplit/>
          <w:trHeight w:val="1040"/>
        </w:trPr>
        <w:tc>
          <w:tcPr>
            <w:tcW w:w="3119" w:type="dxa"/>
            <w:shd w:val="clear" w:color="auto" w:fill="DBE5F1" w:themeFill="accent1" w:themeFillTint="33"/>
            <w:vAlign w:val="center"/>
          </w:tcPr>
          <w:p w:rsidR="00E72E43" w:rsidRPr="00EC4057" w:rsidRDefault="00E72E43" w:rsidP="00E72E43">
            <w:pPr>
              <w:jc w:val="center"/>
              <w:rPr>
                <w:rFonts w:ascii="Arial Narrow" w:hAnsi="Arial Narrow"/>
                <w:sz w:val="22"/>
                <w:szCs w:val="22"/>
              </w:rPr>
            </w:pPr>
            <w:r w:rsidRPr="00EC4057">
              <w:rPr>
                <w:rFonts w:ascii="Arial Narrow" w:hAnsi="Arial Narrow"/>
                <w:sz w:val="22"/>
                <w:szCs w:val="22"/>
              </w:rPr>
              <w:t xml:space="preserve">Просроченная задолженность 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E72E43" w:rsidRPr="00EC4057" w:rsidRDefault="00E72E43" w:rsidP="00E72E43">
            <w:pPr>
              <w:jc w:val="center"/>
              <w:rPr>
                <w:rFonts w:ascii="Arial Narrow" w:hAnsi="Arial Narrow"/>
                <w:sz w:val="22"/>
                <w:szCs w:val="22"/>
              </w:rPr>
            </w:pPr>
            <w:r w:rsidRPr="005C3CBE">
              <w:rPr>
                <w:rFonts w:ascii="Arial Narrow" w:hAnsi="Arial Narrow"/>
                <w:b/>
                <w:sz w:val="22"/>
                <w:szCs w:val="22"/>
              </w:rPr>
              <w:t>3</w:t>
            </w:r>
            <w:r>
              <w:rPr>
                <w:rFonts w:ascii="Arial Narrow" w:hAnsi="Arial Narrow"/>
                <w:b/>
                <w:sz w:val="22"/>
                <w:szCs w:val="22"/>
              </w:rPr>
              <w:t xml:space="preserve">9902 </w:t>
            </w:r>
            <w:r w:rsidRPr="00EC4057">
              <w:rPr>
                <w:rFonts w:ascii="Arial Narrow" w:hAnsi="Arial Narrow"/>
                <w:b/>
                <w:sz w:val="22"/>
                <w:szCs w:val="22"/>
              </w:rPr>
              <w:t>тыс. руб</w:t>
            </w:r>
            <w:r>
              <w:rPr>
                <w:rFonts w:ascii="Arial Narrow" w:hAnsi="Arial Narrow"/>
                <w:b/>
                <w:sz w:val="22"/>
                <w:szCs w:val="22"/>
              </w:rPr>
              <w:t>.</w:t>
            </w:r>
            <w:r w:rsidRPr="00EC4057">
              <w:rPr>
                <w:rFonts w:ascii="Arial Narrow" w:hAnsi="Arial Narrow"/>
                <w:sz w:val="22"/>
                <w:szCs w:val="22"/>
              </w:rPr>
              <w:t xml:space="preserve"> </w:t>
            </w:r>
          </w:p>
          <w:p w:rsidR="00E72E43" w:rsidRPr="002A5D33" w:rsidRDefault="00E72E43" w:rsidP="00E72E43">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rPr>
              <w:t>июня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E72E43" w:rsidRPr="00D263BC" w:rsidRDefault="00E72E43" w:rsidP="00E72E43">
            <w:pPr>
              <w:ind w:right="-117"/>
              <w:jc w:val="center"/>
              <w:rPr>
                <w:rFonts w:ascii="Arial Narrow" w:hAnsi="Arial Narrow"/>
                <w:b/>
                <w:color w:val="1F497D" w:themeColor="text2"/>
              </w:rPr>
            </w:pPr>
            <w:r>
              <w:rPr>
                <w:rFonts w:ascii="Arial Narrow" w:hAnsi="Arial Narrow"/>
                <w:b/>
                <w:color w:val="1F497D" w:themeColor="text2"/>
              </w:rPr>
              <w:t>10 место*</w:t>
            </w:r>
          </w:p>
        </w:tc>
        <w:tc>
          <w:tcPr>
            <w:tcW w:w="4244" w:type="dxa"/>
            <w:gridSpan w:val="11"/>
            <w:shd w:val="clear" w:color="auto" w:fill="DBE5F1" w:themeFill="accent1" w:themeFillTint="33"/>
            <w:vAlign w:val="center"/>
          </w:tcPr>
          <w:p w:rsidR="00E72E43" w:rsidRPr="00BA5CD7" w:rsidRDefault="00E72E43" w:rsidP="00E72E43">
            <w:pPr>
              <w:ind w:left="-85"/>
              <w:rPr>
                <w:rFonts w:ascii="Arial Narrow" w:hAnsi="Arial Narrow"/>
                <w:b/>
                <w:color w:val="1F497D" w:themeColor="text2"/>
                <w:sz w:val="2"/>
                <w:szCs w:val="2"/>
              </w:rPr>
            </w:pPr>
            <w:r w:rsidRPr="00A50517">
              <w:rPr>
                <w:rFonts w:ascii="Arial Narrow" w:hAnsi="Arial Narrow"/>
                <w:b/>
                <w:noProof/>
                <w:color w:val="1F497D" w:themeColor="text2"/>
                <w:sz w:val="2"/>
                <w:szCs w:val="2"/>
              </w:rPr>
              <w:drawing>
                <wp:inline distT="0" distB="0" distL="0" distR="0">
                  <wp:extent cx="2647950" cy="704850"/>
                  <wp:effectExtent l="0" t="0" r="0" b="0"/>
                  <wp:docPr id="48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E72E43" w:rsidRPr="00D1615F" w:rsidRDefault="00E72E43" w:rsidP="00E72E43">
            <w:pPr>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 xml:space="preserve">о: </w:t>
            </w:r>
            <w:r w:rsidRPr="00C26673">
              <w:rPr>
                <w:rFonts w:ascii="Arial Narrow" w:hAnsi="Arial Narrow"/>
                <w:iCs/>
                <w:sz w:val="18"/>
                <w:szCs w:val="18"/>
              </w:rPr>
              <w:t>Амурская область</w:t>
            </w:r>
            <w:r>
              <w:rPr>
                <w:rFonts w:ascii="Arial Narrow" w:hAnsi="Arial Narrow"/>
                <w:iCs/>
                <w:sz w:val="18"/>
                <w:szCs w:val="18"/>
              </w:rPr>
              <w:t xml:space="preserve"> и </w:t>
            </w:r>
            <w:r w:rsidRPr="00E423E9">
              <w:rPr>
                <w:rFonts w:ascii="Arial Narrow" w:hAnsi="Arial Narrow"/>
                <w:sz w:val="18"/>
                <w:szCs w:val="18"/>
              </w:rPr>
              <w:t>Чукотский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E72E43" w:rsidRPr="00D1615F" w:rsidRDefault="00E72E43" w:rsidP="00E72E43">
            <w:pPr>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5B625D">
              <w:rPr>
                <w:rFonts w:ascii="Arial Narrow" w:hAnsi="Arial Narrow"/>
                <w:sz w:val="18"/>
                <w:szCs w:val="18"/>
              </w:rPr>
              <w:t xml:space="preserve"> </w:t>
            </w:r>
            <w:r w:rsidRPr="00E423E9">
              <w:rPr>
                <w:rFonts w:ascii="Arial Narrow" w:hAnsi="Arial Narrow"/>
                <w:sz w:val="18"/>
                <w:szCs w:val="18"/>
              </w:rPr>
              <w:t xml:space="preserve"> –</w:t>
            </w:r>
            <w:r>
              <w:t xml:space="preserve"> </w:t>
            </w:r>
            <w:r w:rsidRPr="005C3CBE">
              <w:rPr>
                <w:rFonts w:ascii="Arial Narrow" w:hAnsi="Arial Narrow"/>
                <w:sz w:val="18"/>
                <w:szCs w:val="18"/>
              </w:rPr>
              <w:t>4</w:t>
            </w:r>
            <w:r>
              <w:rPr>
                <w:rFonts w:ascii="Arial Narrow" w:hAnsi="Arial Narrow"/>
                <w:sz w:val="18"/>
                <w:szCs w:val="18"/>
              </w:rPr>
              <w:t>4268</w:t>
            </w:r>
            <w:r w:rsidRPr="00CB4BCB">
              <w:rPr>
                <w:rFonts w:ascii="Arial Narrow" w:hAnsi="Arial Narrow"/>
                <w:sz w:val="18"/>
                <w:szCs w:val="18"/>
              </w:rPr>
              <w:t xml:space="preserve"> </w:t>
            </w:r>
            <w:r w:rsidRPr="00D1615F">
              <w:rPr>
                <w:rFonts w:ascii="Arial Narrow" w:hAnsi="Arial Narrow"/>
                <w:sz w:val="18"/>
                <w:szCs w:val="18"/>
              </w:rPr>
              <w:t>тыс. руб</w:t>
            </w:r>
            <w:r>
              <w:rPr>
                <w:rFonts w:ascii="Arial Narrow" w:hAnsi="Arial Narrow"/>
                <w:sz w:val="18"/>
                <w:szCs w:val="18"/>
              </w:rPr>
              <w:t>.</w:t>
            </w:r>
          </w:p>
        </w:tc>
      </w:tr>
      <w:tr w:rsidR="00E72E43" w:rsidTr="00E72E43">
        <w:trPr>
          <w:cantSplit/>
          <w:trHeight w:val="1066"/>
        </w:trPr>
        <w:tc>
          <w:tcPr>
            <w:tcW w:w="3119" w:type="dxa"/>
            <w:shd w:val="clear" w:color="auto" w:fill="DBE5F1" w:themeFill="accent1" w:themeFillTint="33"/>
            <w:vAlign w:val="center"/>
          </w:tcPr>
          <w:p w:rsidR="00E72E43" w:rsidRDefault="00E72E43" w:rsidP="00E72E43">
            <w:pPr>
              <w:jc w:val="center"/>
              <w:rPr>
                <w:rFonts w:ascii="Arial Narrow" w:eastAsia="Calibri" w:hAnsi="Arial Narrow"/>
                <w:sz w:val="22"/>
                <w:szCs w:val="22"/>
              </w:rPr>
            </w:pPr>
            <w:r w:rsidRPr="008C65B8">
              <w:rPr>
                <w:rFonts w:ascii="Arial Narrow" w:eastAsia="Calibri" w:hAnsi="Arial Narrow"/>
                <w:sz w:val="22"/>
                <w:szCs w:val="22"/>
              </w:rPr>
              <w:t xml:space="preserve">Уровень безработицы </w:t>
            </w:r>
          </w:p>
          <w:p w:rsidR="00E72E43" w:rsidRDefault="00E72E43" w:rsidP="00E72E43">
            <w:pPr>
              <w:jc w:val="center"/>
              <w:rPr>
                <w:rFonts w:ascii="Arial Narrow" w:hAnsi="Arial Narrow"/>
                <w:sz w:val="22"/>
                <w:szCs w:val="22"/>
              </w:rPr>
            </w:pPr>
            <w:r w:rsidRPr="008C65B8">
              <w:rPr>
                <w:rFonts w:ascii="Arial Narrow" w:hAnsi="Arial Narrow"/>
                <w:sz w:val="22"/>
                <w:szCs w:val="22"/>
              </w:rPr>
              <w:t xml:space="preserve">в % от численности </w:t>
            </w:r>
          </w:p>
          <w:p w:rsidR="00E72E43" w:rsidRPr="004B38AF" w:rsidRDefault="00E72E43" w:rsidP="00E72E43">
            <w:pPr>
              <w:jc w:val="center"/>
              <w:rPr>
                <w:rFonts w:ascii="Arial Narrow" w:hAnsi="Arial Narrow"/>
                <w:b/>
                <w:color w:val="000000" w:themeColor="text1"/>
              </w:rPr>
            </w:pPr>
            <w:r w:rsidRPr="004B38AF">
              <w:rPr>
                <w:rFonts w:ascii="Arial Narrow" w:hAnsi="Arial Narrow"/>
                <w:color w:val="000000" w:themeColor="text1"/>
                <w:sz w:val="22"/>
                <w:szCs w:val="22"/>
              </w:rPr>
              <w:t xml:space="preserve">рабочей силы </w:t>
            </w:r>
            <w:r w:rsidRPr="004B38AF">
              <w:rPr>
                <w:rFonts w:ascii="Arial Narrow" w:hAnsi="Arial Narrow"/>
                <w:color w:val="000000" w:themeColor="text1"/>
              </w:rPr>
              <w:t xml:space="preserve">– </w:t>
            </w:r>
            <w:r w:rsidRPr="004B38AF">
              <w:rPr>
                <w:rFonts w:ascii="Arial Narrow" w:hAnsi="Arial Narrow"/>
                <w:b/>
                <w:color w:val="000000" w:themeColor="text1"/>
              </w:rPr>
              <w:t>7,</w:t>
            </w:r>
            <w:r>
              <w:rPr>
                <w:rFonts w:ascii="Arial Narrow" w:hAnsi="Arial Narrow"/>
                <w:b/>
                <w:color w:val="000000" w:themeColor="text1"/>
              </w:rPr>
              <w:t>2</w:t>
            </w:r>
            <w:r w:rsidRPr="004B38AF">
              <w:rPr>
                <w:rFonts w:ascii="Arial Narrow" w:hAnsi="Arial Narrow"/>
                <w:b/>
                <w:color w:val="000000" w:themeColor="text1"/>
              </w:rPr>
              <w:t xml:space="preserve">% </w:t>
            </w:r>
          </w:p>
          <w:p w:rsidR="00E72E43" w:rsidRPr="008C65B8" w:rsidRDefault="00E72E43" w:rsidP="00E72E43">
            <w:pPr>
              <w:spacing w:after="40"/>
              <w:ind w:left="-57" w:right="-57"/>
              <w:jc w:val="center"/>
              <w:rPr>
                <w:rFonts w:ascii="Arial Narrow" w:hAnsi="Arial Narrow"/>
              </w:rPr>
            </w:pPr>
            <w:r w:rsidRPr="004B38AF">
              <w:rPr>
                <w:rFonts w:ascii="Arial Narrow" w:hAnsi="Arial Narrow"/>
                <w:color w:val="000000" w:themeColor="text1"/>
                <w:sz w:val="22"/>
                <w:szCs w:val="22"/>
              </w:rPr>
              <w:t xml:space="preserve">за </w:t>
            </w:r>
            <w:r>
              <w:rPr>
                <w:rFonts w:ascii="Arial Narrow" w:hAnsi="Arial Narrow"/>
                <w:color w:val="000000" w:themeColor="text1"/>
                <w:sz w:val="22"/>
                <w:szCs w:val="22"/>
              </w:rPr>
              <w:t>февраль-апрель</w:t>
            </w:r>
            <w:r w:rsidRPr="004B38AF">
              <w:rPr>
                <w:rFonts w:ascii="Arial Narrow" w:hAnsi="Arial Narrow"/>
                <w:color w:val="000000" w:themeColor="text1"/>
                <w:sz w:val="22"/>
                <w:szCs w:val="22"/>
              </w:rPr>
              <w:t xml:space="preserve">  2020г.</w:t>
            </w:r>
          </w:p>
        </w:tc>
        <w:tc>
          <w:tcPr>
            <w:tcW w:w="1125" w:type="dxa"/>
            <w:shd w:val="clear" w:color="auto" w:fill="FF0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8 место*</w:t>
            </w:r>
          </w:p>
        </w:tc>
        <w:tc>
          <w:tcPr>
            <w:tcW w:w="4244" w:type="dxa"/>
            <w:gridSpan w:val="11"/>
            <w:shd w:val="clear" w:color="auto" w:fill="DBE5F1" w:themeFill="accent1" w:themeFillTint="33"/>
            <w:vAlign w:val="center"/>
          </w:tcPr>
          <w:p w:rsidR="00E72E43" w:rsidRPr="00BA5CD7" w:rsidRDefault="00E72E43" w:rsidP="00E72E43">
            <w:pPr>
              <w:ind w:left="-85"/>
              <w:rPr>
                <w:rFonts w:ascii="Arial Narrow" w:hAnsi="Arial Narrow"/>
                <w:b/>
                <w:color w:val="1F497D" w:themeColor="text2"/>
                <w:sz w:val="2"/>
                <w:szCs w:val="2"/>
              </w:rPr>
            </w:pPr>
            <w:r w:rsidRPr="004B38AF">
              <w:rPr>
                <w:rFonts w:ascii="Arial Narrow" w:hAnsi="Arial Narrow"/>
                <w:b/>
                <w:noProof/>
                <w:color w:val="1F497D" w:themeColor="text2"/>
                <w:sz w:val="2"/>
                <w:szCs w:val="2"/>
              </w:rPr>
              <w:drawing>
                <wp:inline distT="0" distB="0" distL="0" distR="0">
                  <wp:extent cx="2657475" cy="638175"/>
                  <wp:effectExtent l="0" t="0" r="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E72E43" w:rsidRPr="00283C70" w:rsidRDefault="00E72E43" w:rsidP="00E72E43">
            <w:pPr>
              <w:jc w:val="center"/>
              <w:rPr>
                <w:rFonts w:ascii="Arial Narrow" w:hAnsi="Arial Narrow"/>
                <w:sz w:val="18"/>
                <w:szCs w:val="18"/>
              </w:rPr>
            </w:pPr>
            <w:r w:rsidRPr="008C65B8">
              <w:rPr>
                <w:rFonts w:ascii="Arial Narrow" w:hAnsi="Arial Narrow"/>
                <w:sz w:val="18"/>
                <w:szCs w:val="18"/>
              </w:rPr>
              <w:t xml:space="preserve">1 место: </w:t>
            </w:r>
            <w:r>
              <w:rPr>
                <w:rFonts w:ascii="Arial Narrow" w:hAnsi="Arial Narrow"/>
                <w:sz w:val="18"/>
                <w:szCs w:val="18"/>
              </w:rPr>
              <w:t>Хабаровский</w:t>
            </w:r>
            <w:r w:rsidRPr="00283C70">
              <w:rPr>
                <w:rFonts w:ascii="Arial Narrow" w:hAnsi="Arial Narrow"/>
                <w:sz w:val="18"/>
                <w:szCs w:val="18"/>
              </w:rPr>
              <w:t xml:space="preserve"> </w:t>
            </w:r>
          </w:p>
          <w:p w:rsidR="00E72E43" w:rsidRPr="008C65B8" w:rsidRDefault="00E72E43" w:rsidP="00E72E43">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3,5</w:t>
            </w:r>
            <w:r w:rsidRPr="008C65B8">
              <w:rPr>
                <w:rFonts w:ascii="Arial Narrow" w:hAnsi="Arial Narrow"/>
                <w:sz w:val="18"/>
                <w:szCs w:val="18"/>
              </w:rPr>
              <w:t>%</w:t>
            </w:r>
          </w:p>
          <w:p w:rsidR="00E72E43" w:rsidRPr="008C65B8" w:rsidRDefault="00E72E43" w:rsidP="00E72E43">
            <w:pPr>
              <w:jc w:val="center"/>
              <w:rPr>
                <w:rFonts w:ascii="Arial Narrow" w:hAnsi="Arial Narrow"/>
                <w:b/>
                <w:sz w:val="18"/>
                <w:szCs w:val="18"/>
              </w:rPr>
            </w:pPr>
            <w:r w:rsidRPr="008C65B8">
              <w:rPr>
                <w:rFonts w:ascii="Arial Narrow" w:hAnsi="Arial Narrow"/>
                <w:sz w:val="18"/>
                <w:szCs w:val="18"/>
              </w:rPr>
              <w:t xml:space="preserve">11 место: </w:t>
            </w:r>
            <w:r w:rsidRPr="00E423E9">
              <w:rPr>
                <w:rFonts w:ascii="Arial Narrow" w:hAnsi="Arial Narrow"/>
                <w:sz w:val="18"/>
                <w:szCs w:val="18"/>
              </w:rPr>
              <w:t>Республика Бурятия</w:t>
            </w:r>
            <w:r>
              <w:rPr>
                <w:rFonts w:ascii="Arial Narrow" w:hAnsi="Arial Narrow"/>
                <w:sz w:val="18"/>
                <w:szCs w:val="18"/>
              </w:rPr>
              <w:t xml:space="preserve"> –</w:t>
            </w:r>
            <w:r>
              <w:t xml:space="preserve"> </w:t>
            </w:r>
            <w:r>
              <w:rPr>
                <w:rFonts w:ascii="Arial Narrow" w:hAnsi="Arial Narrow"/>
                <w:sz w:val="18"/>
                <w:szCs w:val="18"/>
              </w:rPr>
              <w:t>10,4</w:t>
            </w:r>
            <w:r w:rsidRPr="008C65B8">
              <w:rPr>
                <w:rFonts w:ascii="Arial Narrow" w:hAnsi="Arial Narrow"/>
                <w:sz w:val="18"/>
                <w:szCs w:val="18"/>
              </w:rPr>
              <w:t>%</w:t>
            </w:r>
          </w:p>
        </w:tc>
      </w:tr>
      <w:tr w:rsidR="00E72E43" w:rsidTr="00E72E43">
        <w:trPr>
          <w:cantSplit/>
          <w:trHeight w:val="136"/>
        </w:trPr>
        <w:tc>
          <w:tcPr>
            <w:tcW w:w="10490" w:type="dxa"/>
            <w:gridSpan w:val="14"/>
            <w:shd w:val="clear" w:color="auto" w:fill="DBE5F1" w:themeFill="accent1" w:themeFillTint="33"/>
          </w:tcPr>
          <w:p w:rsidR="00E72E43" w:rsidRPr="003211EB" w:rsidRDefault="00E72E43" w:rsidP="00E72E43">
            <w:pPr>
              <w:jc w:val="center"/>
              <w:rPr>
                <w:rFonts w:ascii="Arial Narrow" w:hAnsi="Arial Narrow"/>
                <w:b/>
                <w:color w:val="1F497D"/>
              </w:rPr>
            </w:pPr>
            <w:r w:rsidRPr="003211EB">
              <w:rPr>
                <w:rFonts w:ascii="Arial Narrow" w:hAnsi="Arial Narrow"/>
                <w:b/>
                <w:color w:val="1F497D"/>
              </w:rPr>
              <w:lastRenderedPageBreak/>
              <w:t>в % к январю</w:t>
            </w:r>
            <w:r>
              <w:rPr>
                <w:rFonts w:ascii="Arial Narrow" w:hAnsi="Arial Narrow"/>
                <w:b/>
                <w:color w:val="1F497D"/>
              </w:rPr>
              <w:t>-маю 2019</w:t>
            </w:r>
            <w:r w:rsidRPr="003211EB">
              <w:rPr>
                <w:rFonts w:ascii="Arial Narrow" w:hAnsi="Arial Narrow"/>
                <w:b/>
                <w:color w:val="1F497D"/>
              </w:rPr>
              <w:t xml:space="preserve"> года</w:t>
            </w:r>
          </w:p>
        </w:tc>
      </w:tr>
      <w:tr w:rsidR="00E72E43" w:rsidTr="00E72E43">
        <w:trPr>
          <w:cantSplit/>
          <w:trHeight w:val="865"/>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rPr>
              <w:t>92,6</w:t>
            </w:r>
            <w:r w:rsidRPr="008876B1">
              <w:rPr>
                <w:rFonts w:ascii="Arial Narrow" w:hAnsi="Arial Narrow"/>
                <w:b/>
                <w:sz w:val="22"/>
                <w:szCs w:val="22"/>
              </w:rPr>
              <w:t xml:space="preserve"> </w:t>
            </w:r>
            <w:r w:rsidRPr="0062014E">
              <w:rPr>
                <w:rFonts w:ascii="Arial Narrow" w:hAnsi="Arial Narrow"/>
                <w:b/>
                <w:sz w:val="22"/>
                <w:szCs w:val="22"/>
              </w:rPr>
              <w:t>%</w:t>
            </w:r>
          </w:p>
        </w:tc>
        <w:tc>
          <w:tcPr>
            <w:tcW w:w="1125" w:type="dxa"/>
            <w:shd w:val="clear" w:color="auto" w:fill="FF0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Pr="00806740" w:rsidRDefault="00E72E43" w:rsidP="00E72E43">
            <w:pPr>
              <w:ind w:left="-85" w:right="-126" w:hanging="14"/>
              <w:jc w:val="center"/>
              <w:rPr>
                <w:rFonts w:ascii="Arial Narrow" w:hAnsi="Arial Narrow"/>
                <w:b/>
                <w:color w:val="1F497D" w:themeColor="text2"/>
                <w:sz w:val="2"/>
                <w:szCs w:val="2"/>
              </w:rPr>
            </w:pPr>
            <w:r w:rsidRPr="00FC1C7A">
              <w:rPr>
                <w:rFonts w:ascii="Arial Narrow" w:hAnsi="Arial Narrow"/>
                <w:b/>
                <w:noProof/>
                <w:color w:val="1F497D" w:themeColor="text2"/>
                <w:sz w:val="2"/>
                <w:szCs w:val="2"/>
              </w:rPr>
              <w:drawing>
                <wp:inline distT="0" distB="0" distL="0" distR="0">
                  <wp:extent cx="2606723" cy="532263"/>
                  <wp:effectExtent l="0" t="0" r="0" b="0"/>
                  <wp:docPr id="48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E72E43" w:rsidRPr="00984732" w:rsidRDefault="00E72E43" w:rsidP="00E72E43">
            <w:pPr>
              <w:jc w:val="center"/>
              <w:rPr>
                <w:rFonts w:ascii="Arial Narrow" w:hAnsi="Arial Narrow"/>
                <w:sz w:val="18"/>
                <w:szCs w:val="18"/>
              </w:rPr>
            </w:pPr>
            <w:r w:rsidRPr="00984732">
              <w:rPr>
                <w:rFonts w:ascii="Arial Narrow" w:hAnsi="Arial Narrow"/>
                <w:sz w:val="18"/>
                <w:szCs w:val="18"/>
              </w:rPr>
              <w:t xml:space="preserve">1 место: </w:t>
            </w:r>
            <w:r w:rsidRPr="00283C70">
              <w:rPr>
                <w:rFonts w:ascii="Arial Narrow" w:hAnsi="Arial Narrow"/>
                <w:sz w:val="18"/>
                <w:szCs w:val="18"/>
              </w:rPr>
              <w:t>Камчатский край</w:t>
            </w:r>
            <w:r>
              <w:rPr>
                <w:rFonts w:ascii="Arial Narrow" w:hAnsi="Arial Narrow"/>
                <w:sz w:val="18"/>
                <w:szCs w:val="18"/>
              </w:rPr>
              <w:t xml:space="preserve">     </w:t>
            </w:r>
            <w:r>
              <w:rPr>
                <w:rFonts w:ascii="Arial Narrow" w:hAnsi="Arial Narrow"/>
                <w:sz w:val="18"/>
                <w:szCs w:val="18"/>
                <w:lang w:val="sah-RU"/>
              </w:rPr>
              <w:t xml:space="preserve"> </w:t>
            </w:r>
            <w:r w:rsidRPr="00984732">
              <w:rPr>
                <w:rFonts w:ascii="Arial Narrow" w:hAnsi="Arial Narrow"/>
                <w:sz w:val="18"/>
                <w:szCs w:val="18"/>
              </w:rPr>
              <w:t>–</w:t>
            </w:r>
            <w:r>
              <w:rPr>
                <w:rFonts w:ascii="Arial Narrow" w:hAnsi="Arial Narrow"/>
                <w:sz w:val="18"/>
                <w:szCs w:val="18"/>
              </w:rPr>
              <w:t>111,7%</w:t>
            </w:r>
          </w:p>
          <w:p w:rsidR="00E72E43" w:rsidRPr="00984732" w:rsidRDefault="00E72E43" w:rsidP="00E72E43">
            <w:pPr>
              <w:jc w:val="center"/>
              <w:rPr>
                <w:rFonts w:ascii="Arial Narrow" w:hAnsi="Arial Narrow"/>
                <w:b/>
                <w:sz w:val="18"/>
                <w:szCs w:val="18"/>
              </w:rPr>
            </w:pPr>
            <w:r>
              <w:rPr>
                <w:rFonts w:ascii="Arial Narrow" w:hAnsi="Arial Narrow"/>
                <w:sz w:val="18"/>
                <w:szCs w:val="18"/>
              </w:rPr>
              <w:t>10</w:t>
            </w:r>
            <w:r w:rsidRPr="00984732">
              <w:rPr>
                <w:rFonts w:ascii="Arial Narrow" w:hAnsi="Arial Narrow"/>
                <w:sz w:val="18"/>
                <w:szCs w:val="18"/>
              </w:rPr>
              <w:t xml:space="preserve"> место: </w:t>
            </w:r>
            <w:r>
              <w:rPr>
                <w:rFonts w:ascii="Arial Narrow" w:hAnsi="Arial Narrow"/>
                <w:sz w:val="18"/>
                <w:szCs w:val="18"/>
              </w:rPr>
              <w:t xml:space="preserve">Приморский край </w:t>
            </w:r>
            <w:r w:rsidRPr="00984732">
              <w:rPr>
                <w:rFonts w:ascii="Arial Narrow" w:hAnsi="Arial Narrow"/>
                <w:sz w:val="18"/>
                <w:szCs w:val="18"/>
              </w:rPr>
              <w:t>–</w:t>
            </w:r>
            <w:r>
              <w:rPr>
                <w:rFonts w:ascii="Arial Narrow" w:hAnsi="Arial Narrow"/>
                <w:sz w:val="18"/>
                <w:szCs w:val="18"/>
              </w:rPr>
              <w:t xml:space="preserve"> 98,6</w:t>
            </w:r>
            <w:r w:rsidRPr="00984732">
              <w:rPr>
                <w:rFonts w:ascii="Arial Narrow" w:hAnsi="Arial Narrow"/>
                <w:sz w:val="18"/>
                <w:szCs w:val="18"/>
              </w:rPr>
              <w:t>%</w:t>
            </w:r>
          </w:p>
        </w:tc>
      </w:tr>
      <w:tr w:rsidR="00E72E43" w:rsidTr="00E72E43">
        <w:trPr>
          <w:cantSplit/>
          <w:trHeight w:val="834"/>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Объем продукции 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104,8</w:t>
            </w:r>
            <w:r w:rsidRPr="0062014E">
              <w:rPr>
                <w:rFonts w:ascii="Arial Narrow" w:hAnsi="Arial Narrow"/>
                <w:b/>
                <w:sz w:val="22"/>
                <w:szCs w:val="22"/>
              </w:rPr>
              <w:t>%</w:t>
            </w:r>
          </w:p>
          <w:p w:rsidR="00E72E43" w:rsidRPr="00DE6ACB" w:rsidRDefault="00E72E43" w:rsidP="00E72E43">
            <w:pPr>
              <w:jc w:val="center"/>
              <w:rPr>
                <w:rFonts w:ascii="Arial Narrow" w:hAnsi="Arial Narrow"/>
                <w:b/>
                <w:sz w:val="22"/>
                <w:szCs w:val="22"/>
                <w:lang w:val="sah-RU"/>
              </w:rPr>
            </w:pPr>
            <w:r w:rsidRPr="0062014E">
              <w:rPr>
                <w:rFonts w:ascii="Arial Narrow" w:hAnsi="Arial Narrow"/>
                <w:sz w:val="22"/>
                <w:szCs w:val="22"/>
              </w:rPr>
              <w:t xml:space="preserve"> </w:t>
            </w:r>
            <w:r>
              <w:rPr>
                <w:rFonts w:ascii="Arial Narrow" w:hAnsi="Arial Narrow"/>
                <w:sz w:val="22"/>
                <w:szCs w:val="22"/>
                <w:lang w:val="sah-RU"/>
              </w:rPr>
              <w:t>к январю-марту 2019 года</w:t>
            </w:r>
          </w:p>
        </w:tc>
        <w:tc>
          <w:tcPr>
            <w:tcW w:w="1125" w:type="dxa"/>
            <w:tcBorders>
              <w:bottom w:val="single" w:sz="24" w:space="0" w:color="FFFFFF" w:themeColor="background1"/>
            </w:tcBorders>
            <w:shd w:val="clear" w:color="auto" w:fill="FFC000"/>
            <w:vAlign w:val="center"/>
          </w:tcPr>
          <w:p w:rsidR="00E72E43" w:rsidRPr="007A519E" w:rsidRDefault="00E72E43" w:rsidP="00E72E43">
            <w:pPr>
              <w:jc w:val="center"/>
              <w:rPr>
                <w:rFonts w:ascii="Arial Narrow" w:hAnsi="Arial Narrow"/>
                <w:b/>
                <w:color w:val="1F497D"/>
              </w:rPr>
            </w:pPr>
            <w:r>
              <w:rPr>
                <w:rFonts w:ascii="Arial Narrow" w:hAnsi="Arial Narrow"/>
                <w:b/>
                <w:color w:val="1F497D" w:themeColor="text2"/>
              </w:rPr>
              <w:t>4 место</w:t>
            </w:r>
          </w:p>
        </w:tc>
        <w:tc>
          <w:tcPr>
            <w:tcW w:w="4244" w:type="dxa"/>
            <w:gridSpan w:val="11"/>
            <w:shd w:val="clear" w:color="auto" w:fill="DBE5F1" w:themeFill="accent1" w:themeFillTint="33"/>
            <w:vAlign w:val="center"/>
          </w:tcPr>
          <w:p w:rsidR="00E72E43" w:rsidRPr="00806740" w:rsidRDefault="00E72E43" w:rsidP="00E72E43">
            <w:pPr>
              <w:ind w:left="-85"/>
              <w:jc w:val="center"/>
              <w:rPr>
                <w:rFonts w:ascii="Arial Narrow" w:hAnsi="Arial Narrow"/>
                <w:b/>
                <w:color w:val="1F497D" w:themeColor="text2"/>
                <w:sz w:val="2"/>
                <w:szCs w:val="2"/>
              </w:rPr>
            </w:pPr>
            <w:r w:rsidRPr="002454E8">
              <w:rPr>
                <w:rFonts w:ascii="Arial Narrow" w:hAnsi="Arial Narrow"/>
                <w:b/>
                <w:noProof/>
                <w:color w:val="1F497D" w:themeColor="text2"/>
                <w:sz w:val="2"/>
                <w:szCs w:val="2"/>
              </w:rPr>
              <w:drawing>
                <wp:inline distT="0" distB="0" distL="0" distR="0">
                  <wp:extent cx="2628900" cy="523875"/>
                  <wp:effectExtent l="0" t="0" r="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E72E43" w:rsidRPr="00563C66" w:rsidRDefault="00E72E43" w:rsidP="00E72E43">
            <w:pPr>
              <w:jc w:val="center"/>
              <w:rPr>
                <w:rFonts w:ascii="Arial Narrow" w:hAnsi="Arial Narrow"/>
                <w:sz w:val="18"/>
                <w:szCs w:val="18"/>
              </w:rPr>
            </w:pPr>
            <w:r w:rsidRPr="00563C66">
              <w:rPr>
                <w:rFonts w:ascii="Arial Narrow" w:hAnsi="Arial Narrow"/>
                <w:sz w:val="18"/>
                <w:szCs w:val="18"/>
              </w:rPr>
              <w:t xml:space="preserve">1 место: </w:t>
            </w:r>
            <w:r w:rsidRPr="000467BA">
              <w:rPr>
                <w:rFonts w:ascii="Arial Narrow" w:hAnsi="Arial Narrow"/>
                <w:sz w:val="18"/>
                <w:szCs w:val="18"/>
              </w:rPr>
              <w:t>Сахалинская область</w:t>
            </w:r>
            <w:r w:rsidRPr="00563C66">
              <w:rPr>
                <w:rFonts w:ascii="Arial Narrow" w:hAnsi="Arial Narrow"/>
                <w:sz w:val="18"/>
                <w:szCs w:val="18"/>
              </w:rPr>
              <w:t xml:space="preserve"> – </w:t>
            </w:r>
            <w:r>
              <w:rPr>
                <w:rFonts w:ascii="Arial Narrow" w:hAnsi="Arial Narrow"/>
                <w:sz w:val="18"/>
                <w:szCs w:val="18"/>
              </w:rPr>
              <w:t>109,6</w:t>
            </w:r>
            <w:r w:rsidRPr="00563C66">
              <w:rPr>
                <w:rFonts w:ascii="Arial Narrow" w:hAnsi="Arial Narrow"/>
                <w:sz w:val="18"/>
                <w:szCs w:val="18"/>
              </w:rPr>
              <w:t>%</w:t>
            </w:r>
          </w:p>
          <w:p w:rsidR="00E72E43" w:rsidRPr="000C2D79" w:rsidRDefault="00E72E43" w:rsidP="00E72E43">
            <w:pPr>
              <w:spacing w:line="216" w:lineRule="auto"/>
              <w:jc w:val="center"/>
              <w:rPr>
                <w:rFonts w:ascii="Arial Narrow" w:hAnsi="Arial Narrow"/>
                <w:b/>
                <w:sz w:val="18"/>
                <w:szCs w:val="18"/>
              </w:rPr>
            </w:pPr>
            <w:r w:rsidRPr="00283C70">
              <w:rPr>
                <w:rFonts w:ascii="Arial Narrow" w:hAnsi="Arial Narrow"/>
                <w:sz w:val="18"/>
                <w:szCs w:val="18"/>
              </w:rPr>
              <w:t>11 место: Еврейская АО –</w:t>
            </w:r>
            <w:r>
              <w:rPr>
                <w:rFonts w:ascii="Arial Narrow" w:hAnsi="Arial Narrow"/>
                <w:sz w:val="18"/>
                <w:szCs w:val="18"/>
              </w:rPr>
              <w:t>87,2%</w:t>
            </w:r>
          </w:p>
        </w:tc>
      </w:tr>
      <w:tr w:rsidR="00E72E43" w:rsidTr="00E72E43">
        <w:trPr>
          <w:cantSplit/>
          <w:trHeight w:val="907"/>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 xml:space="preserve">Инвестиции в основной капитал </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lang w:val="sah-RU"/>
              </w:rPr>
              <w:t>56,6</w:t>
            </w:r>
            <w:r w:rsidRPr="001A4940">
              <w:rPr>
                <w:rFonts w:ascii="Arial Narrow" w:hAnsi="Arial Narrow"/>
                <w:b/>
                <w:sz w:val="22"/>
                <w:szCs w:val="22"/>
              </w:rPr>
              <w:t xml:space="preserve"> </w:t>
            </w:r>
            <w:r w:rsidRPr="0062014E">
              <w:rPr>
                <w:rFonts w:ascii="Arial Narrow" w:hAnsi="Arial Narrow"/>
                <w:b/>
                <w:sz w:val="22"/>
                <w:szCs w:val="22"/>
              </w:rPr>
              <w:t>%</w:t>
            </w:r>
          </w:p>
          <w:p w:rsidR="00E72E43" w:rsidRPr="0062014E" w:rsidRDefault="00E72E43" w:rsidP="00E72E43">
            <w:pPr>
              <w:jc w:val="center"/>
              <w:rPr>
                <w:rFonts w:ascii="Arial Narrow" w:hAnsi="Arial Narrow"/>
                <w:sz w:val="22"/>
                <w:szCs w:val="22"/>
              </w:rPr>
            </w:pPr>
            <w:r>
              <w:rPr>
                <w:rFonts w:ascii="Arial Narrow" w:hAnsi="Arial Narrow"/>
                <w:sz w:val="22"/>
                <w:szCs w:val="22"/>
                <w:lang w:val="sah-RU"/>
              </w:rPr>
              <w:t>к</w:t>
            </w:r>
            <w:r w:rsidRPr="0062014E">
              <w:rPr>
                <w:rFonts w:ascii="Arial Narrow" w:hAnsi="Arial Narrow"/>
                <w:sz w:val="22"/>
                <w:szCs w:val="22"/>
              </w:rPr>
              <w:t xml:space="preserve"> </w:t>
            </w:r>
            <w:proofErr w:type="spellStart"/>
            <w:r>
              <w:rPr>
                <w:rFonts w:ascii="Arial Narrow" w:hAnsi="Arial Narrow"/>
                <w:sz w:val="22"/>
                <w:szCs w:val="22"/>
              </w:rPr>
              <w:t>январ</w:t>
            </w:r>
            <w:proofErr w:type="spellEnd"/>
            <w:r>
              <w:rPr>
                <w:rFonts w:ascii="Arial Narrow" w:hAnsi="Arial Narrow"/>
                <w:sz w:val="22"/>
                <w:szCs w:val="22"/>
                <w:lang w:val="sah-RU"/>
              </w:rPr>
              <w:t>ю</w:t>
            </w:r>
            <w:r w:rsidRPr="0062014E">
              <w:rPr>
                <w:rFonts w:ascii="Arial Narrow" w:hAnsi="Arial Narrow"/>
                <w:sz w:val="22"/>
                <w:szCs w:val="22"/>
              </w:rPr>
              <w:t>-</w:t>
            </w:r>
            <w:r>
              <w:rPr>
                <w:rFonts w:ascii="Arial Narrow" w:hAnsi="Arial Narrow"/>
                <w:sz w:val="22"/>
                <w:szCs w:val="22"/>
                <w:lang w:val="sah-RU"/>
              </w:rPr>
              <w:t>марту</w:t>
            </w:r>
            <w:r w:rsidRPr="0062014E">
              <w:rPr>
                <w:rFonts w:ascii="Arial Narrow" w:hAnsi="Arial Narrow"/>
                <w:sz w:val="22"/>
                <w:szCs w:val="22"/>
              </w:rPr>
              <w:t xml:space="preserve"> 20</w:t>
            </w:r>
            <w:r>
              <w:rPr>
                <w:rFonts w:ascii="Arial Narrow" w:hAnsi="Arial Narrow"/>
                <w:sz w:val="22"/>
                <w:szCs w:val="22"/>
                <w:lang w:val="sah-RU"/>
              </w:rPr>
              <w:t>19</w:t>
            </w:r>
            <w:r w:rsidRPr="0062014E">
              <w:rPr>
                <w:rFonts w:ascii="Arial Narrow" w:hAnsi="Arial Narrow"/>
                <w:sz w:val="22"/>
                <w:szCs w:val="22"/>
              </w:rPr>
              <w:t xml:space="preserve"> года</w:t>
            </w:r>
          </w:p>
        </w:tc>
        <w:tc>
          <w:tcPr>
            <w:tcW w:w="1125" w:type="dxa"/>
            <w:shd w:val="clear" w:color="auto" w:fill="FF000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Default="00E72E43" w:rsidP="00E72E43">
            <w:pPr>
              <w:ind w:left="-85"/>
              <w:jc w:val="center"/>
              <w:rPr>
                <w:noProof/>
              </w:rPr>
            </w:pPr>
            <w:r w:rsidRPr="000825E3">
              <w:rPr>
                <w:noProof/>
              </w:rPr>
              <w:drawing>
                <wp:inline distT="0" distB="0" distL="0" distR="0">
                  <wp:extent cx="2674961" cy="511791"/>
                  <wp:effectExtent l="0" t="0" r="0" b="0"/>
                  <wp:docPr id="4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E72E43" w:rsidRPr="00283C70" w:rsidRDefault="00E72E43" w:rsidP="00E72E43">
            <w:pPr>
              <w:ind w:left="-57" w:right="-57"/>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 xml:space="preserve">Чукотский </w:t>
            </w:r>
            <w:r>
              <w:rPr>
                <w:rFonts w:ascii="Arial Narrow" w:hAnsi="Arial Narrow"/>
                <w:sz w:val="18"/>
                <w:szCs w:val="18"/>
              </w:rPr>
              <w:t>АО</w:t>
            </w:r>
            <w:r w:rsidRPr="00283C70">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168,0</w:t>
            </w:r>
            <w:r w:rsidRPr="00283C70">
              <w:rPr>
                <w:rFonts w:ascii="Arial Narrow" w:hAnsi="Arial Narrow"/>
                <w:sz w:val="18"/>
                <w:szCs w:val="18"/>
              </w:rPr>
              <w:t>%</w:t>
            </w:r>
          </w:p>
          <w:p w:rsidR="00E72E43" w:rsidRPr="00563C66" w:rsidRDefault="00E72E43" w:rsidP="00E72E43">
            <w:pPr>
              <w:jc w:val="center"/>
              <w:rPr>
                <w:rFonts w:ascii="Arial Narrow" w:hAnsi="Arial Narrow"/>
                <w:sz w:val="18"/>
                <w:szCs w:val="18"/>
              </w:rPr>
            </w:pPr>
            <w:r w:rsidRPr="00283C70">
              <w:rPr>
                <w:rFonts w:ascii="Arial Narrow" w:hAnsi="Arial Narrow"/>
                <w:sz w:val="18"/>
                <w:szCs w:val="18"/>
              </w:rPr>
              <w:t>11 место: Еврейская АО –</w:t>
            </w:r>
            <w:r>
              <w:rPr>
                <w:rFonts w:ascii="Arial Narrow" w:hAnsi="Arial Narrow"/>
                <w:sz w:val="18"/>
                <w:szCs w:val="18"/>
              </w:rPr>
              <w:t xml:space="preserve"> </w:t>
            </w:r>
            <w:r>
              <w:rPr>
                <w:rFonts w:ascii="Arial Narrow" w:hAnsi="Arial Narrow"/>
                <w:sz w:val="18"/>
                <w:szCs w:val="18"/>
                <w:lang w:val="sah-RU"/>
              </w:rPr>
              <w:t>51,7</w:t>
            </w:r>
            <w:r>
              <w:rPr>
                <w:rFonts w:ascii="Arial Narrow" w:hAnsi="Arial Narrow"/>
                <w:sz w:val="18"/>
                <w:szCs w:val="18"/>
              </w:rPr>
              <w:t>%</w:t>
            </w:r>
          </w:p>
        </w:tc>
      </w:tr>
      <w:tr w:rsidR="00E72E43" w:rsidTr="00E72E43">
        <w:trPr>
          <w:cantSplit/>
          <w:trHeight w:val="735"/>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sz w:val="22"/>
                <w:szCs w:val="22"/>
              </w:rPr>
            </w:pPr>
            <w:r w:rsidRPr="0062014E">
              <w:rPr>
                <w:rFonts w:ascii="Arial Narrow" w:hAnsi="Arial Narrow"/>
                <w:sz w:val="22"/>
                <w:szCs w:val="22"/>
              </w:rPr>
              <w:t>Объем работ, выполненных по виду деятельности "Строительство"</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lang w:val="sah-RU"/>
              </w:rPr>
              <w:t>57,8</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000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Pr="00445720" w:rsidRDefault="00E72E43" w:rsidP="00E72E43">
            <w:pPr>
              <w:ind w:left="-85"/>
              <w:jc w:val="center"/>
              <w:rPr>
                <w:rFonts w:ascii="Arial Narrow" w:hAnsi="Arial Narrow"/>
                <w:b/>
                <w:noProof/>
                <w:color w:val="1F497D" w:themeColor="text2"/>
                <w:sz w:val="2"/>
                <w:szCs w:val="2"/>
              </w:rPr>
            </w:pPr>
            <w:r w:rsidRPr="008B651A">
              <w:rPr>
                <w:rFonts w:ascii="Arial Narrow" w:hAnsi="Arial Narrow"/>
                <w:b/>
                <w:noProof/>
                <w:color w:val="1F497D" w:themeColor="text2"/>
                <w:sz w:val="2"/>
                <w:szCs w:val="2"/>
              </w:rPr>
              <w:drawing>
                <wp:inline distT="0" distB="0" distL="0" distR="0">
                  <wp:extent cx="2674961" cy="484495"/>
                  <wp:effectExtent l="0" t="0" r="0" b="0"/>
                  <wp:docPr id="45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E72E43" w:rsidRPr="00984732" w:rsidRDefault="00E72E43" w:rsidP="00E72E43">
            <w:pPr>
              <w:jc w:val="center"/>
              <w:rPr>
                <w:rFonts w:ascii="Arial Narrow" w:hAnsi="Arial Narrow"/>
                <w:sz w:val="18"/>
                <w:szCs w:val="18"/>
              </w:rPr>
            </w:pPr>
            <w:r w:rsidRPr="00984732">
              <w:rPr>
                <w:rFonts w:ascii="Arial Narrow" w:hAnsi="Arial Narrow"/>
                <w:sz w:val="18"/>
                <w:szCs w:val="18"/>
              </w:rPr>
              <w:t xml:space="preserve">1 место: </w:t>
            </w:r>
            <w:r w:rsidRPr="00ED1A0F">
              <w:rPr>
                <w:rFonts w:ascii="Arial Narrow" w:hAnsi="Arial Narrow"/>
                <w:sz w:val="18"/>
                <w:szCs w:val="18"/>
              </w:rPr>
              <w:t xml:space="preserve">Забайкальский край </w:t>
            </w:r>
            <w:r w:rsidRPr="00984732">
              <w:rPr>
                <w:rFonts w:ascii="Arial Narrow" w:hAnsi="Arial Narrow"/>
                <w:sz w:val="18"/>
                <w:szCs w:val="18"/>
              </w:rPr>
              <w:t>–</w:t>
            </w:r>
            <w:r>
              <w:t xml:space="preserve"> </w:t>
            </w:r>
            <w:r>
              <w:rPr>
                <w:rFonts w:ascii="Arial Narrow" w:hAnsi="Arial Narrow"/>
                <w:sz w:val="18"/>
                <w:szCs w:val="18"/>
              </w:rPr>
              <w:t>158,0</w:t>
            </w:r>
            <w:r w:rsidRPr="00984732">
              <w:rPr>
                <w:rFonts w:ascii="Arial Narrow" w:hAnsi="Arial Narrow"/>
                <w:sz w:val="18"/>
                <w:szCs w:val="18"/>
              </w:rPr>
              <w:t>%</w:t>
            </w:r>
          </w:p>
          <w:p w:rsidR="00E72E43" w:rsidRPr="00984732" w:rsidRDefault="00E72E43" w:rsidP="00E72E43">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Pr="00984732">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 xml:space="preserve">АО </w:t>
            </w:r>
            <w:r w:rsidRPr="00984732">
              <w:rPr>
                <w:rFonts w:ascii="Arial Narrow" w:hAnsi="Arial Narrow"/>
                <w:sz w:val="18"/>
                <w:szCs w:val="18"/>
              </w:rPr>
              <w:t xml:space="preserve"> –</w:t>
            </w:r>
            <w:r>
              <w:t xml:space="preserve"> </w:t>
            </w:r>
            <w:r>
              <w:rPr>
                <w:rFonts w:ascii="Arial Narrow" w:hAnsi="Arial Narrow"/>
                <w:sz w:val="18"/>
                <w:szCs w:val="18"/>
                <w:lang w:val="sah-RU"/>
              </w:rPr>
              <w:t>57,1</w:t>
            </w:r>
            <w:r w:rsidRPr="00984732">
              <w:rPr>
                <w:rFonts w:ascii="Arial Narrow" w:hAnsi="Arial Narrow"/>
                <w:sz w:val="18"/>
                <w:szCs w:val="18"/>
              </w:rPr>
              <w:t>%</w:t>
            </w:r>
          </w:p>
        </w:tc>
      </w:tr>
      <w:tr w:rsidR="00E72E43" w:rsidTr="00E72E43">
        <w:trPr>
          <w:cantSplit/>
          <w:trHeight w:val="838"/>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E72E43" w:rsidRPr="0062014E" w:rsidRDefault="00E72E43" w:rsidP="00E72E43">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Pr>
                <w:rFonts w:ascii="Arial Narrow" w:hAnsi="Arial Narrow"/>
                <w:color w:val="000000" w:themeColor="text1"/>
                <w:sz w:val="22"/>
                <w:szCs w:val="22"/>
                <w:vertAlign w:val="superscript"/>
              </w:rPr>
              <w:t>1)</w:t>
            </w:r>
            <w:r w:rsidRPr="0062014E">
              <w:rPr>
                <w:rFonts w:ascii="Arial Narrow" w:hAnsi="Arial Narrow"/>
                <w:color w:val="000000" w:themeColor="text1"/>
                <w:sz w:val="22"/>
                <w:szCs w:val="22"/>
              </w:rPr>
              <w:t xml:space="preserve"> – </w:t>
            </w:r>
            <w:r w:rsidRPr="00A25E68">
              <w:rPr>
                <w:rFonts w:ascii="Arial Narrow" w:hAnsi="Arial Narrow"/>
                <w:b/>
                <w:color w:val="000000" w:themeColor="text1"/>
                <w:sz w:val="22"/>
                <w:szCs w:val="22"/>
              </w:rPr>
              <w:t>88,3</w:t>
            </w:r>
            <w:r w:rsidRPr="0062014E">
              <w:rPr>
                <w:rFonts w:ascii="Arial Narrow" w:hAnsi="Arial Narrow"/>
                <w:b/>
                <w:sz w:val="22"/>
                <w:szCs w:val="22"/>
              </w:rPr>
              <w:t xml:space="preserve">% </w:t>
            </w:r>
          </w:p>
        </w:tc>
        <w:tc>
          <w:tcPr>
            <w:tcW w:w="1125" w:type="dxa"/>
            <w:shd w:val="clear" w:color="auto" w:fill="FFC00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lang w:val="sah-RU"/>
              </w:rPr>
              <w:t>6</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Pr="00445720" w:rsidRDefault="00E72E43" w:rsidP="00E72E43">
            <w:pPr>
              <w:ind w:left="-99"/>
              <w:rPr>
                <w:rFonts w:ascii="Arial Narrow" w:hAnsi="Arial Narrow"/>
                <w:b/>
                <w:noProof/>
                <w:color w:val="1F497D" w:themeColor="text2"/>
                <w:sz w:val="2"/>
                <w:szCs w:val="2"/>
              </w:rPr>
            </w:pPr>
            <w:r w:rsidRPr="008B651A">
              <w:rPr>
                <w:rFonts w:ascii="Arial Narrow" w:hAnsi="Arial Narrow"/>
                <w:b/>
                <w:noProof/>
                <w:color w:val="1F497D" w:themeColor="text2"/>
                <w:sz w:val="2"/>
                <w:szCs w:val="2"/>
              </w:rPr>
              <w:drawing>
                <wp:inline distT="0" distB="0" distL="0" distR="0">
                  <wp:extent cx="2686050" cy="485775"/>
                  <wp:effectExtent l="0" t="0" r="0" b="0"/>
                  <wp:docPr id="45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E72E43" w:rsidRPr="008B651A" w:rsidRDefault="00E72E43" w:rsidP="00E72E43">
            <w:pPr>
              <w:jc w:val="center"/>
              <w:rPr>
                <w:rFonts w:ascii="Arial Narrow" w:hAnsi="Arial Narrow"/>
                <w:sz w:val="18"/>
                <w:szCs w:val="18"/>
                <w:lang w:val="sah-RU"/>
              </w:rPr>
            </w:pPr>
            <w:r w:rsidRPr="00563C66">
              <w:rPr>
                <w:rFonts w:ascii="Arial Narrow" w:hAnsi="Arial Narrow"/>
                <w:sz w:val="18"/>
                <w:szCs w:val="18"/>
              </w:rPr>
              <w:t>1 место</w:t>
            </w:r>
            <w:r w:rsidRPr="00C14F19">
              <w:rPr>
                <w:rFonts w:ascii="Arial Narrow" w:hAnsi="Arial Narrow"/>
                <w:sz w:val="18"/>
                <w:szCs w:val="18"/>
              </w:rPr>
              <w:t xml:space="preserve">: </w:t>
            </w:r>
            <w:r w:rsidRPr="00F05891">
              <w:rPr>
                <w:rFonts w:ascii="Arial Narrow" w:hAnsi="Arial Narrow"/>
                <w:sz w:val="18"/>
                <w:szCs w:val="18"/>
              </w:rPr>
              <w:t>Магаданская область</w:t>
            </w:r>
            <w:r w:rsidRPr="00C14F19">
              <w:rPr>
                <w:rFonts w:ascii="Arial Narrow" w:hAnsi="Arial Narrow"/>
                <w:sz w:val="18"/>
                <w:szCs w:val="18"/>
              </w:rPr>
              <w:t xml:space="preserve"> –</w:t>
            </w:r>
            <w:r>
              <w:rPr>
                <w:rFonts w:ascii="Arial Narrow" w:hAnsi="Arial Narrow"/>
                <w:sz w:val="18"/>
                <w:szCs w:val="18"/>
              </w:rPr>
              <w:t xml:space="preserve"> в</w:t>
            </w:r>
            <w:r w:rsidRPr="00563C66">
              <w:rPr>
                <w:rFonts w:ascii="Arial Narrow" w:hAnsi="Arial Narrow"/>
                <w:sz w:val="18"/>
                <w:szCs w:val="18"/>
              </w:rPr>
              <w:t xml:space="preserve"> </w:t>
            </w:r>
            <w:r>
              <w:rPr>
                <w:rFonts w:ascii="Arial Narrow" w:hAnsi="Arial Narrow"/>
                <w:sz w:val="18"/>
                <w:szCs w:val="18"/>
              </w:rPr>
              <w:t>4,2 раза</w:t>
            </w:r>
          </w:p>
          <w:p w:rsidR="00E72E43" w:rsidRPr="00563C66" w:rsidRDefault="00E72E43" w:rsidP="00E72E43">
            <w:pPr>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Чукотский АО </w:t>
            </w:r>
            <w:r>
              <w:rPr>
                <w:rFonts w:ascii="Arial Narrow" w:hAnsi="Arial Narrow"/>
                <w:sz w:val="18"/>
                <w:szCs w:val="18"/>
              </w:rPr>
              <w:t>–</w:t>
            </w:r>
            <w:r w:rsidRPr="00563C66">
              <w:rPr>
                <w:rFonts w:ascii="Arial Narrow" w:hAnsi="Arial Narrow"/>
                <w:sz w:val="18"/>
                <w:szCs w:val="18"/>
              </w:rPr>
              <w:t xml:space="preserve"> </w:t>
            </w:r>
            <w:r w:rsidRPr="00E61706">
              <w:rPr>
                <w:rFonts w:ascii="Arial Narrow" w:hAnsi="Arial Narrow"/>
                <w:sz w:val="18"/>
                <w:szCs w:val="18"/>
              </w:rPr>
              <w:t>показатель отсутствует</w:t>
            </w:r>
          </w:p>
        </w:tc>
      </w:tr>
      <w:tr w:rsidR="00E72E43" w:rsidTr="00E72E43">
        <w:trPr>
          <w:cantSplit/>
          <w:trHeight w:val="789"/>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sidRPr="00A25E68">
              <w:rPr>
                <w:rFonts w:ascii="Arial Narrow" w:hAnsi="Arial Narrow"/>
                <w:b/>
                <w:sz w:val="22"/>
                <w:szCs w:val="22"/>
              </w:rPr>
              <w:t>88,8</w:t>
            </w:r>
            <w:r w:rsidRPr="0062014E">
              <w:rPr>
                <w:rFonts w:ascii="Arial Narrow" w:hAnsi="Arial Narrow"/>
                <w:b/>
                <w:sz w:val="22"/>
                <w:szCs w:val="22"/>
              </w:rPr>
              <w:t>%</w:t>
            </w:r>
          </w:p>
        </w:tc>
        <w:tc>
          <w:tcPr>
            <w:tcW w:w="1125" w:type="dxa"/>
            <w:shd w:val="clear" w:color="auto" w:fill="FF0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E72E43" w:rsidRPr="00806740" w:rsidRDefault="00E72E43" w:rsidP="00E72E43">
            <w:pPr>
              <w:ind w:left="-85"/>
              <w:rPr>
                <w:rFonts w:ascii="Arial Narrow" w:hAnsi="Arial Narrow"/>
                <w:b/>
                <w:color w:val="1F497D" w:themeColor="text2"/>
                <w:sz w:val="2"/>
                <w:szCs w:val="2"/>
              </w:rPr>
            </w:pPr>
            <w:r w:rsidRPr="0037221D">
              <w:rPr>
                <w:rFonts w:ascii="Arial Narrow" w:hAnsi="Arial Narrow"/>
                <w:b/>
                <w:noProof/>
                <w:color w:val="1F497D" w:themeColor="text2"/>
                <w:sz w:val="2"/>
                <w:szCs w:val="2"/>
              </w:rPr>
              <w:drawing>
                <wp:inline distT="0" distB="0" distL="0" distR="0">
                  <wp:extent cx="2674961" cy="525438"/>
                  <wp:effectExtent l="0" t="0" r="0" b="0"/>
                  <wp:docPr id="45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E72E43" w:rsidRPr="00563C66" w:rsidRDefault="00E72E43" w:rsidP="00E72E43">
            <w:pPr>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 xml:space="preserve">АО </w:t>
            </w:r>
            <w:r w:rsidRPr="00563C66">
              <w:rPr>
                <w:rFonts w:ascii="Arial Narrow" w:hAnsi="Arial Narrow"/>
                <w:sz w:val="18"/>
                <w:szCs w:val="18"/>
              </w:rPr>
              <w:t xml:space="preserve"> – </w:t>
            </w:r>
            <w:r>
              <w:rPr>
                <w:rFonts w:ascii="Arial Narrow" w:hAnsi="Arial Narrow"/>
                <w:sz w:val="18"/>
                <w:szCs w:val="18"/>
                <w:lang w:val="sah-RU"/>
              </w:rPr>
              <w:t>100,8</w:t>
            </w:r>
            <w:r w:rsidRPr="00563C66">
              <w:rPr>
                <w:rFonts w:ascii="Arial Narrow" w:hAnsi="Arial Narrow"/>
                <w:sz w:val="18"/>
                <w:szCs w:val="18"/>
              </w:rPr>
              <w:t>%</w:t>
            </w:r>
          </w:p>
          <w:p w:rsidR="00E72E43" w:rsidRPr="00563C66" w:rsidRDefault="00E72E43" w:rsidP="00E72E43">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Pr="00563C66">
              <w:rPr>
                <w:rFonts w:ascii="Arial Narrow" w:hAnsi="Arial Narrow"/>
                <w:sz w:val="18"/>
                <w:szCs w:val="18"/>
              </w:rPr>
              <w:t xml:space="preserve"> </w:t>
            </w:r>
            <w:r>
              <w:rPr>
                <w:rFonts w:ascii="Arial Narrow" w:hAnsi="Arial Narrow"/>
                <w:sz w:val="18"/>
                <w:szCs w:val="18"/>
              </w:rPr>
              <w:t xml:space="preserve">место: </w:t>
            </w:r>
            <w:r w:rsidRPr="00283C70">
              <w:rPr>
                <w:rFonts w:ascii="Arial Narrow" w:hAnsi="Arial Narrow"/>
                <w:sz w:val="18"/>
                <w:szCs w:val="18"/>
              </w:rPr>
              <w:t>Еврейская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90,4</w:t>
            </w:r>
            <w:r w:rsidRPr="00283C70">
              <w:rPr>
                <w:rFonts w:ascii="Arial Narrow" w:hAnsi="Arial Narrow"/>
                <w:sz w:val="18"/>
                <w:szCs w:val="18"/>
              </w:rPr>
              <w:t>%</w:t>
            </w:r>
          </w:p>
        </w:tc>
      </w:tr>
      <w:tr w:rsidR="00E72E43" w:rsidTr="00E72E43">
        <w:trPr>
          <w:cantSplit/>
          <w:trHeight w:val="789"/>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sz w:val="22"/>
                <w:szCs w:val="22"/>
              </w:rPr>
            </w:pPr>
            <w:r w:rsidRPr="0062014E">
              <w:rPr>
                <w:rFonts w:ascii="Arial Narrow" w:hAnsi="Arial Narrow"/>
                <w:sz w:val="22"/>
                <w:szCs w:val="22"/>
              </w:rPr>
              <w:t>Оборот общественного</w:t>
            </w:r>
          </w:p>
          <w:p w:rsidR="00E72E43" w:rsidRPr="0062014E" w:rsidRDefault="00E72E43" w:rsidP="00E72E43">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Pr>
                <w:rFonts w:ascii="Arial Narrow" w:hAnsi="Arial Narrow"/>
                <w:b/>
                <w:sz w:val="22"/>
                <w:szCs w:val="22"/>
                <w:lang w:val="sah-RU"/>
              </w:rPr>
              <w:t>89,4</w:t>
            </w:r>
            <w:r w:rsidRPr="0062014E">
              <w:rPr>
                <w:rFonts w:ascii="Arial Narrow" w:hAnsi="Arial Narrow"/>
                <w:b/>
                <w:sz w:val="22"/>
                <w:szCs w:val="22"/>
              </w:rPr>
              <w:t>%</w:t>
            </w:r>
          </w:p>
        </w:tc>
        <w:tc>
          <w:tcPr>
            <w:tcW w:w="1125" w:type="dxa"/>
            <w:shd w:val="clear" w:color="auto" w:fill="FFC00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lang w:val="sah-RU"/>
              </w:rPr>
              <w:t>7</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E72E43" w:rsidRPr="00672FBE" w:rsidRDefault="00E72E43" w:rsidP="00E72E43">
            <w:pPr>
              <w:ind w:left="-85"/>
              <w:rPr>
                <w:rFonts w:ascii="Arial Narrow" w:hAnsi="Arial Narrow"/>
                <w:b/>
                <w:color w:val="1F497D" w:themeColor="text2"/>
                <w:sz w:val="2"/>
                <w:szCs w:val="2"/>
              </w:rPr>
            </w:pPr>
            <w:r w:rsidRPr="0037221D">
              <w:rPr>
                <w:rFonts w:ascii="Arial Narrow" w:hAnsi="Arial Narrow"/>
                <w:b/>
                <w:noProof/>
                <w:color w:val="1F497D" w:themeColor="text2"/>
                <w:sz w:val="2"/>
                <w:szCs w:val="2"/>
              </w:rPr>
              <w:drawing>
                <wp:inline distT="0" distB="0" distL="0" distR="0">
                  <wp:extent cx="2674961" cy="634621"/>
                  <wp:effectExtent l="0" t="0" r="0" b="0"/>
                  <wp:docPr id="46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E72E43" w:rsidRPr="00283C70" w:rsidRDefault="00E72E43" w:rsidP="00E72E43">
            <w:pPr>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 – 155</w:t>
            </w:r>
            <w:r>
              <w:rPr>
                <w:rFonts w:ascii="Arial Narrow" w:hAnsi="Arial Narrow"/>
                <w:sz w:val="18"/>
                <w:szCs w:val="18"/>
                <w:lang w:val="sah-RU"/>
              </w:rPr>
              <w:t>,2</w:t>
            </w:r>
            <w:r w:rsidRPr="00283C70">
              <w:rPr>
                <w:rFonts w:ascii="Arial Narrow" w:hAnsi="Arial Narrow"/>
                <w:sz w:val="18"/>
                <w:szCs w:val="18"/>
              </w:rPr>
              <w:t>%</w:t>
            </w:r>
            <w:r>
              <w:rPr>
                <w:rFonts w:ascii="Arial Narrow" w:hAnsi="Arial Narrow"/>
                <w:sz w:val="18"/>
                <w:szCs w:val="18"/>
              </w:rPr>
              <w:t xml:space="preserve"> </w:t>
            </w:r>
          </w:p>
          <w:p w:rsidR="00E72E43" w:rsidRPr="00283C70" w:rsidRDefault="00E72E43" w:rsidP="00E72E43">
            <w:pPr>
              <w:jc w:val="center"/>
              <w:rPr>
                <w:rFonts w:ascii="Arial Narrow" w:hAnsi="Arial Narrow"/>
                <w:b/>
              </w:rPr>
            </w:pPr>
            <w:r>
              <w:rPr>
                <w:rFonts w:ascii="Arial Narrow" w:hAnsi="Arial Narrow"/>
                <w:sz w:val="18"/>
                <w:szCs w:val="18"/>
              </w:rPr>
              <w:t>10-</w:t>
            </w:r>
            <w:r w:rsidRPr="00283C70">
              <w:rPr>
                <w:rFonts w:ascii="Arial Narrow" w:hAnsi="Arial Narrow"/>
                <w:sz w:val="18"/>
                <w:szCs w:val="18"/>
              </w:rPr>
              <w:t>11 место: Еврейская АО</w:t>
            </w:r>
            <w:r>
              <w:rPr>
                <w:rFonts w:ascii="Arial Narrow" w:hAnsi="Arial Narrow"/>
                <w:sz w:val="18"/>
                <w:szCs w:val="18"/>
              </w:rPr>
              <w:t xml:space="preserve"> и </w:t>
            </w:r>
            <w:r w:rsidRPr="00BB0925">
              <w:rPr>
                <w:rFonts w:ascii="Arial Narrow" w:hAnsi="Arial Narrow"/>
                <w:sz w:val="18"/>
                <w:szCs w:val="18"/>
              </w:rPr>
              <w:t>Забайкальский край</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74,2</w:t>
            </w:r>
            <w:r w:rsidRPr="00283C70">
              <w:rPr>
                <w:rFonts w:ascii="Arial Narrow" w:hAnsi="Arial Narrow"/>
                <w:sz w:val="18"/>
                <w:szCs w:val="18"/>
              </w:rPr>
              <w:t>%</w:t>
            </w:r>
          </w:p>
        </w:tc>
      </w:tr>
      <w:tr w:rsidR="00E72E43" w:rsidTr="00E72E43">
        <w:trPr>
          <w:cantSplit/>
          <w:trHeight w:val="836"/>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75,0</w:t>
            </w:r>
            <w:r w:rsidRPr="0062014E">
              <w:rPr>
                <w:rFonts w:ascii="Arial Narrow" w:hAnsi="Arial Narrow"/>
                <w:b/>
                <w:sz w:val="22"/>
                <w:szCs w:val="22"/>
              </w:rPr>
              <w:t>%</w:t>
            </w:r>
          </w:p>
        </w:tc>
        <w:tc>
          <w:tcPr>
            <w:tcW w:w="1125" w:type="dxa"/>
            <w:shd w:val="clear" w:color="auto" w:fill="FF000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rPr>
              <w:t>11 место</w:t>
            </w:r>
          </w:p>
        </w:tc>
        <w:tc>
          <w:tcPr>
            <w:tcW w:w="4244" w:type="dxa"/>
            <w:gridSpan w:val="11"/>
            <w:shd w:val="clear" w:color="auto" w:fill="DBE5F1" w:themeFill="accent1" w:themeFillTint="33"/>
            <w:vAlign w:val="center"/>
          </w:tcPr>
          <w:p w:rsidR="00E72E43" w:rsidRPr="00806740" w:rsidRDefault="00E72E43" w:rsidP="00E72E43">
            <w:pPr>
              <w:ind w:left="-85"/>
              <w:rPr>
                <w:rFonts w:ascii="Arial Narrow" w:hAnsi="Arial Narrow"/>
                <w:b/>
                <w:color w:val="1F497D" w:themeColor="text2"/>
                <w:sz w:val="2"/>
                <w:szCs w:val="2"/>
              </w:rPr>
            </w:pPr>
            <w:r w:rsidRPr="00CA1C0B">
              <w:rPr>
                <w:rFonts w:ascii="Arial Narrow" w:hAnsi="Arial Narrow"/>
                <w:b/>
                <w:noProof/>
                <w:color w:val="1F497D" w:themeColor="text2"/>
                <w:sz w:val="2"/>
                <w:szCs w:val="2"/>
              </w:rPr>
              <w:drawing>
                <wp:inline distT="0" distB="0" distL="0" distR="0">
                  <wp:extent cx="2676525" cy="514350"/>
                  <wp:effectExtent l="0" t="0" r="0" b="0"/>
                  <wp:docPr id="46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E72E43" w:rsidRPr="00283C70" w:rsidRDefault="00E72E43" w:rsidP="00E72E43">
            <w:pPr>
              <w:jc w:val="center"/>
              <w:rPr>
                <w:rFonts w:ascii="Arial Narrow" w:hAnsi="Arial Narrow"/>
                <w:sz w:val="18"/>
                <w:szCs w:val="18"/>
              </w:rPr>
            </w:pPr>
            <w:r w:rsidRPr="00283C70">
              <w:rPr>
                <w:rFonts w:ascii="Arial Narrow" w:hAnsi="Arial Narrow"/>
                <w:sz w:val="18"/>
                <w:szCs w:val="18"/>
              </w:rPr>
              <w:t xml:space="preserve">1 место: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93,5</w:t>
            </w:r>
            <w:r w:rsidRPr="00283C70">
              <w:rPr>
                <w:rFonts w:ascii="Arial Narrow" w:hAnsi="Arial Narrow"/>
                <w:sz w:val="18"/>
                <w:szCs w:val="18"/>
              </w:rPr>
              <w:t>%</w:t>
            </w:r>
          </w:p>
          <w:p w:rsidR="00E72E43" w:rsidRPr="00283C70" w:rsidRDefault="00E72E43" w:rsidP="00E72E43">
            <w:pPr>
              <w:jc w:val="center"/>
              <w:rPr>
                <w:rFonts w:ascii="Arial Narrow" w:hAnsi="Arial Narrow"/>
                <w:b/>
                <w:sz w:val="18"/>
                <w:szCs w:val="18"/>
              </w:rPr>
            </w:pPr>
            <w:r>
              <w:rPr>
                <w:rFonts w:ascii="Arial Narrow" w:hAnsi="Arial Narrow"/>
                <w:sz w:val="18"/>
                <w:szCs w:val="18"/>
              </w:rPr>
              <w:t xml:space="preserve">10 </w:t>
            </w:r>
            <w:r w:rsidRPr="00283C70">
              <w:rPr>
                <w:rFonts w:ascii="Arial Narrow" w:hAnsi="Arial Narrow"/>
                <w:sz w:val="18"/>
                <w:szCs w:val="18"/>
              </w:rPr>
              <w:t xml:space="preserve"> 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78,9</w:t>
            </w:r>
            <w:r w:rsidRPr="00283C70">
              <w:rPr>
                <w:rFonts w:ascii="Arial Narrow" w:hAnsi="Arial Narrow"/>
                <w:sz w:val="18"/>
                <w:szCs w:val="18"/>
              </w:rPr>
              <w:t>%</w:t>
            </w:r>
          </w:p>
        </w:tc>
      </w:tr>
      <w:tr w:rsidR="00E72E43" w:rsidTr="00E72E43">
        <w:trPr>
          <w:cantSplit/>
          <w:trHeight w:val="781"/>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100,4</w:t>
            </w:r>
            <w:r w:rsidRPr="0062014E">
              <w:rPr>
                <w:rFonts w:ascii="Arial Narrow" w:hAnsi="Arial Narrow"/>
                <w:b/>
                <w:sz w:val="22"/>
                <w:szCs w:val="22"/>
              </w:rPr>
              <w:t xml:space="preserve"> %</w:t>
            </w:r>
          </w:p>
        </w:tc>
        <w:tc>
          <w:tcPr>
            <w:tcW w:w="1125" w:type="dxa"/>
            <w:shd w:val="clear" w:color="auto" w:fill="92D05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lang w:val="sah-RU"/>
              </w:rPr>
              <w:t xml:space="preserve">3 </w:t>
            </w:r>
            <w:r>
              <w:rPr>
                <w:rFonts w:ascii="Arial Narrow" w:hAnsi="Arial Narrow"/>
                <w:b/>
                <w:color w:val="1F497D" w:themeColor="text2"/>
              </w:rPr>
              <w:t>место</w:t>
            </w:r>
          </w:p>
        </w:tc>
        <w:tc>
          <w:tcPr>
            <w:tcW w:w="4244" w:type="dxa"/>
            <w:gridSpan w:val="11"/>
            <w:shd w:val="clear" w:color="auto" w:fill="DBE5F1" w:themeFill="accent1" w:themeFillTint="33"/>
          </w:tcPr>
          <w:p w:rsidR="00E72E43" w:rsidRPr="00672FBE" w:rsidRDefault="00E72E43" w:rsidP="00E72E43">
            <w:pPr>
              <w:ind w:left="-85"/>
              <w:jc w:val="both"/>
              <w:rPr>
                <w:rFonts w:ascii="Arial Narrow" w:hAnsi="Arial Narrow"/>
                <w:b/>
                <w:color w:val="1F497D" w:themeColor="text2"/>
                <w:sz w:val="2"/>
                <w:szCs w:val="2"/>
              </w:rPr>
            </w:pPr>
            <w:r w:rsidRPr="00752664">
              <w:rPr>
                <w:rFonts w:ascii="Arial Narrow" w:hAnsi="Arial Narrow"/>
                <w:b/>
                <w:noProof/>
                <w:color w:val="1F497D" w:themeColor="text2"/>
                <w:sz w:val="2"/>
                <w:szCs w:val="2"/>
              </w:rPr>
              <w:drawing>
                <wp:inline distT="0" distB="0" distL="0" distR="0">
                  <wp:extent cx="2667000" cy="561975"/>
                  <wp:effectExtent l="0" t="0" r="0" b="0"/>
                  <wp:docPr id="46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E72E43" w:rsidRPr="00CA1C0B" w:rsidRDefault="00E72E43" w:rsidP="00E72E43">
            <w:pPr>
              <w:jc w:val="center"/>
              <w:rPr>
                <w:rFonts w:ascii="Arial" w:hAnsi="Arial" w:cs="Arial"/>
                <w:sz w:val="18"/>
                <w:szCs w:val="18"/>
              </w:rPr>
            </w:pPr>
            <w:r>
              <w:rPr>
                <w:rFonts w:ascii="Arial Narrow" w:hAnsi="Arial Narrow"/>
                <w:sz w:val="18"/>
                <w:szCs w:val="18"/>
              </w:rPr>
              <w:t>1</w:t>
            </w:r>
            <w:r w:rsidRPr="00283C70">
              <w:rPr>
                <w:rFonts w:ascii="Arial Narrow" w:hAnsi="Arial Narrow"/>
                <w:sz w:val="18"/>
                <w:szCs w:val="18"/>
              </w:rPr>
              <w:t xml:space="preserve"> место: </w:t>
            </w:r>
            <w:r>
              <w:rPr>
                <w:rFonts w:ascii="Arial Narrow" w:hAnsi="Arial Narrow"/>
                <w:sz w:val="18"/>
                <w:szCs w:val="18"/>
              </w:rPr>
              <w:t xml:space="preserve">Чукотский АО </w:t>
            </w:r>
            <w:r w:rsidRPr="00283C70">
              <w:rPr>
                <w:rFonts w:ascii="Arial Narrow" w:hAnsi="Arial Narrow"/>
                <w:sz w:val="18"/>
                <w:szCs w:val="18"/>
              </w:rPr>
              <w:t xml:space="preserve"> –</w:t>
            </w:r>
            <w:r w:rsidRPr="00A303A8">
              <w:rPr>
                <w:sz w:val="18"/>
                <w:szCs w:val="18"/>
              </w:rPr>
              <w:t xml:space="preserve"> в </w:t>
            </w:r>
            <w:r>
              <w:rPr>
                <w:rFonts w:ascii="Arial Narrow" w:hAnsi="Arial Narrow"/>
                <w:sz w:val="18"/>
                <w:szCs w:val="18"/>
                <w:lang w:val="sah-RU"/>
              </w:rPr>
              <w:t>2,2 раза</w:t>
            </w:r>
          </w:p>
          <w:p w:rsidR="00E72E43" w:rsidRPr="00283C70" w:rsidRDefault="00E72E43" w:rsidP="00E72E43">
            <w:pPr>
              <w:jc w:val="center"/>
              <w:rPr>
                <w:rFonts w:ascii="Arial Narrow" w:hAnsi="Arial Narrow"/>
                <w:sz w:val="18"/>
                <w:szCs w:val="18"/>
              </w:rPr>
            </w:pPr>
            <w:r w:rsidRPr="00283C70">
              <w:rPr>
                <w:rFonts w:ascii="Arial Narrow" w:hAnsi="Arial Narrow"/>
                <w:sz w:val="18"/>
                <w:szCs w:val="18"/>
              </w:rPr>
              <w:t>11 место</w:t>
            </w:r>
            <w:r>
              <w:rPr>
                <w:rFonts w:ascii="Arial Narrow" w:hAnsi="Arial Narrow"/>
                <w:sz w:val="18"/>
                <w:szCs w:val="18"/>
              </w:rPr>
              <w:t xml:space="preserve"> Хабаровский</w:t>
            </w:r>
            <w:r w:rsidRPr="00283C70">
              <w:rPr>
                <w:rFonts w:ascii="Arial Narrow" w:hAnsi="Arial Narrow"/>
                <w:sz w:val="18"/>
                <w:szCs w:val="18"/>
              </w:rPr>
              <w:t xml:space="preserve"> </w:t>
            </w:r>
          </w:p>
          <w:p w:rsidR="00E72E43" w:rsidRPr="00283C70" w:rsidRDefault="00E72E43" w:rsidP="00E72E43">
            <w:pPr>
              <w:jc w:val="center"/>
              <w:rPr>
                <w:rFonts w:ascii="Arial Narrow" w:hAnsi="Arial Narrow"/>
                <w:b/>
              </w:rPr>
            </w:pPr>
            <w:r>
              <w:rPr>
                <w:rFonts w:ascii="Arial Narrow" w:hAnsi="Arial Narrow"/>
                <w:sz w:val="18"/>
                <w:szCs w:val="18"/>
              </w:rPr>
              <w:t>к</w:t>
            </w:r>
            <w:r w:rsidRPr="00283C70">
              <w:rPr>
                <w:rFonts w:ascii="Arial Narrow" w:hAnsi="Arial Narrow"/>
                <w:sz w:val="18"/>
                <w:szCs w:val="18"/>
              </w:rPr>
              <w:t>рай</w:t>
            </w:r>
            <w:r w:rsidRPr="00540E33">
              <w:rPr>
                <w:rFonts w:ascii="Arial Narrow" w:hAnsi="Arial Narrow"/>
                <w:sz w:val="18"/>
                <w:szCs w:val="18"/>
              </w:rPr>
              <w:t xml:space="preserve"> </w:t>
            </w:r>
            <w:r w:rsidRPr="00283C70">
              <w:rPr>
                <w:rFonts w:ascii="Arial Narrow" w:hAnsi="Arial Narrow"/>
                <w:sz w:val="18"/>
                <w:szCs w:val="18"/>
              </w:rPr>
              <w:t xml:space="preserve">– </w:t>
            </w:r>
            <w:r>
              <w:rPr>
                <w:rFonts w:ascii="Arial Narrow" w:hAnsi="Arial Narrow"/>
                <w:sz w:val="18"/>
                <w:szCs w:val="18"/>
              </w:rPr>
              <w:t>86,6</w:t>
            </w:r>
            <w:r w:rsidRPr="00283C70">
              <w:rPr>
                <w:rFonts w:ascii="Arial Narrow" w:hAnsi="Arial Narrow"/>
                <w:sz w:val="18"/>
                <w:szCs w:val="18"/>
              </w:rPr>
              <w:t>%</w:t>
            </w:r>
          </w:p>
        </w:tc>
      </w:tr>
      <w:tr w:rsidR="00E72E43" w:rsidTr="00E72E43">
        <w:trPr>
          <w:cantSplit/>
          <w:trHeight w:val="731"/>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101,1</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rPr>
              <w:t xml:space="preserve">май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E72E43" w:rsidRPr="0062014E" w:rsidRDefault="00E72E43" w:rsidP="00E72E43">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E72E43" w:rsidRPr="00D263BC" w:rsidRDefault="00E72E43" w:rsidP="00E72E43">
            <w:pPr>
              <w:jc w:val="center"/>
              <w:rPr>
                <w:rFonts w:ascii="Arial Narrow" w:hAnsi="Arial Narrow"/>
                <w:b/>
                <w:color w:val="1F497D" w:themeColor="text2"/>
              </w:rPr>
            </w:pPr>
            <w:r>
              <w:rPr>
                <w:rFonts w:ascii="Arial Narrow" w:hAnsi="Arial Narrow"/>
                <w:b/>
                <w:color w:val="1F497D" w:themeColor="text2"/>
                <w:lang w:val="sah-RU"/>
              </w:rPr>
              <w:t xml:space="preserve">1 </w:t>
            </w:r>
            <w:r>
              <w:rPr>
                <w:rFonts w:ascii="Arial Narrow" w:hAnsi="Arial Narrow"/>
                <w:b/>
                <w:color w:val="1F497D" w:themeColor="text2"/>
              </w:rPr>
              <w:t>место*</w:t>
            </w:r>
          </w:p>
        </w:tc>
        <w:tc>
          <w:tcPr>
            <w:tcW w:w="4244" w:type="dxa"/>
            <w:gridSpan w:val="11"/>
            <w:shd w:val="clear" w:color="auto" w:fill="DBE5F1" w:themeFill="accent1" w:themeFillTint="33"/>
          </w:tcPr>
          <w:p w:rsidR="00E72E43" w:rsidRPr="00672FBE" w:rsidRDefault="00E72E43" w:rsidP="00E72E43">
            <w:pPr>
              <w:ind w:left="-85"/>
              <w:rPr>
                <w:rFonts w:ascii="Arial Narrow" w:hAnsi="Arial Narrow"/>
                <w:b/>
                <w:color w:val="1F497D" w:themeColor="text2"/>
                <w:sz w:val="2"/>
                <w:szCs w:val="2"/>
              </w:rPr>
            </w:pPr>
            <w:r w:rsidRPr="00A303A8">
              <w:rPr>
                <w:rFonts w:ascii="Arial Narrow" w:hAnsi="Arial Narrow"/>
                <w:b/>
                <w:noProof/>
                <w:color w:val="1F497D" w:themeColor="text2"/>
                <w:sz w:val="2"/>
                <w:szCs w:val="2"/>
              </w:rPr>
              <w:drawing>
                <wp:inline distT="0" distB="0" distL="0" distR="0">
                  <wp:extent cx="2674961" cy="518615"/>
                  <wp:effectExtent l="0" t="0" r="0" b="0"/>
                  <wp:docPr id="48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E72E43" w:rsidRPr="00283C70" w:rsidRDefault="00E72E43" w:rsidP="00E72E43">
            <w:pPr>
              <w:jc w:val="center"/>
              <w:rPr>
                <w:rFonts w:ascii="Arial Narrow" w:hAnsi="Arial Narrow"/>
                <w:sz w:val="18"/>
                <w:szCs w:val="18"/>
              </w:rPr>
            </w:pPr>
            <w:r>
              <w:rPr>
                <w:rFonts w:ascii="Arial Narrow" w:hAnsi="Arial Narrow"/>
                <w:sz w:val="18"/>
                <w:szCs w:val="18"/>
                <w:lang w:val="sah-RU"/>
              </w:rPr>
              <w:t>2</w:t>
            </w:r>
            <w:r w:rsidRPr="00283C70">
              <w:rPr>
                <w:rFonts w:ascii="Arial Narrow" w:hAnsi="Arial Narrow"/>
                <w:sz w:val="18"/>
                <w:szCs w:val="18"/>
              </w:rPr>
              <w:t xml:space="preserve"> место: Камчатский край</w:t>
            </w:r>
            <w:r>
              <w:rPr>
                <w:rFonts w:ascii="Arial Narrow" w:hAnsi="Arial Narrow"/>
                <w:sz w:val="18"/>
                <w:szCs w:val="18"/>
              </w:rPr>
              <w:t xml:space="preserve">    – 101,5</w:t>
            </w:r>
            <w:r w:rsidRPr="00283C70">
              <w:rPr>
                <w:rFonts w:ascii="Arial Narrow" w:hAnsi="Arial Narrow"/>
                <w:sz w:val="18"/>
                <w:szCs w:val="18"/>
              </w:rPr>
              <w:t>%</w:t>
            </w:r>
          </w:p>
          <w:p w:rsidR="00E72E43" w:rsidRPr="00283C70" w:rsidRDefault="00E72E43" w:rsidP="00E72E43">
            <w:pPr>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Pr>
                <w:rFonts w:ascii="Arial Narrow" w:hAnsi="Arial Narrow"/>
                <w:sz w:val="18"/>
                <w:szCs w:val="18"/>
              </w:rPr>
              <w:t>Амурская область</w:t>
            </w:r>
            <w:r w:rsidRPr="00283C70">
              <w:rPr>
                <w:rFonts w:ascii="Arial Narrow" w:hAnsi="Arial Narrow"/>
                <w:sz w:val="18"/>
                <w:szCs w:val="18"/>
              </w:rPr>
              <w:t xml:space="preserve"> </w:t>
            </w:r>
            <w:r>
              <w:rPr>
                <w:rFonts w:ascii="Arial Narrow" w:hAnsi="Arial Narrow"/>
                <w:sz w:val="18"/>
                <w:szCs w:val="18"/>
                <w:lang w:val="sah-RU"/>
              </w:rPr>
              <w:t xml:space="preserve"> </w:t>
            </w:r>
            <w:r w:rsidRPr="00283C70">
              <w:rPr>
                <w:rFonts w:ascii="Arial Narrow" w:hAnsi="Arial Narrow"/>
                <w:sz w:val="18"/>
                <w:szCs w:val="18"/>
              </w:rPr>
              <w:t>–</w:t>
            </w:r>
            <w:r>
              <w:rPr>
                <w:rFonts w:ascii="Arial Narrow" w:hAnsi="Arial Narrow"/>
                <w:sz w:val="18"/>
                <w:szCs w:val="18"/>
              </w:rPr>
              <w:t xml:space="preserve"> 103,2</w:t>
            </w:r>
            <w:r w:rsidRPr="00283C70">
              <w:rPr>
                <w:rFonts w:ascii="Arial Narrow" w:hAnsi="Arial Narrow"/>
                <w:sz w:val="18"/>
                <w:szCs w:val="18"/>
              </w:rPr>
              <w:t>%</w:t>
            </w:r>
          </w:p>
        </w:tc>
      </w:tr>
      <w:tr w:rsidR="00E72E43" w:rsidTr="00E72E43">
        <w:trPr>
          <w:cantSplit/>
          <w:trHeight w:val="889"/>
        </w:trPr>
        <w:tc>
          <w:tcPr>
            <w:tcW w:w="3119" w:type="dxa"/>
            <w:shd w:val="clear" w:color="auto" w:fill="DBE5F1" w:themeFill="accent1" w:themeFillTint="33"/>
            <w:vAlign w:val="center"/>
          </w:tcPr>
          <w:p w:rsidR="00E72E43" w:rsidRPr="0062014E" w:rsidRDefault="00E72E43" w:rsidP="00E72E43">
            <w:pPr>
              <w:spacing w:line="220" w:lineRule="exact"/>
              <w:jc w:val="center"/>
              <w:rPr>
                <w:rFonts w:ascii="Arial Narrow" w:hAnsi="Arial Narrow"/>
                <w:sz w:val="22"/>
                <w:szCs w:val="22"/>
              </w:rPr>
            </w:pPr>
            <w:r w:rsidRPr="0062014E">
              <w:rPr>
                <w:rFonts w:ascii="Arial Narrow" w:hAnsi="Arial Narrow"/>
                <w:sz w:val="22"/>
                <w:szCs w:val="22"/>
              </w:rPr>
              <w:t>Реальные денежные доходы населения</w:t>
            </w:r>
            <w:r>
              <w:rPr>
                <w:rFonts w:ascii="Arial Narrow" w:hAnsi="Arial Narrow"/>
                <w:sz w:val="22"/>
                <w:szCs w:val="22"/>
                <w:vertAlign w:val="superscript"/>
              </w:rPr>
              <w:t>2</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100,4</w:t>
            </w:r>
            <w:r w:rsidRPr="0062014E">
              <w:rPr>
                <w:rFonts w:ascii="Arial Narrow" w:hAnsi="Arial Narrow"/>
                <w:b/>
                <w:sz w:val="22"/>
                <w:szCs w:val="22"/>
              </w:rPr>
              <w:t>%</w:t>
            </w:r>
            <w:r w:rsidRPr="0062014E">
              <w:rPr>
                <w:rFonts w:ascii="Arial Narrow" w:hAnsi="Arial Narrow"/>
                <w:sz w:val="22"/>
                <w:szCs w:val="22"/>
              </w:rPr>
              <w:t xml:space="preserve"> </w:t>
            </w:r>
          </w:p>
          <w:p w:rsidR="00E72E43" w:rsidRDefault="00E72E43" w:rsidP="00E72E43">
            <w:pPr>
              <w:spacing w:line="220" w:lineRule="exact"/>
              <w:jc w:val="center"/>
              <w:rPr>
                <w:rFonts w:ascii="Arial Narrow" w:hAnsi="Arial Narrow"/>
                <w:sz w:val="22"/>
                <w:szCs w:val="22"/>
              </w:rPr>
            </w:pPr>
            <w:r>
              <w:rPr>
                <w:rFonts w:ascii="Arial Narrow" w:hAnsi="Arial Narrow"/>
                <w:sz w:val="22"/>
                <w:szCs w:val="22"/>
              </w:rPr>
              <w:t xml:space="preserve">1 квартал 2020 года </w:t>
            </w:r>
          </w:p>
          <w:p w:rsidR="00E72E43" w:rsidRPr="0062014E" w:rsidRDefault="00E72E43" w:rsidP="00E72E43">
            <w:pPr>
              <w:spacing w:line="220" w:lineRule="exact"/>
              <w:jc w:val="center"/>
              <w:rPr>
                <w:rFonts w:ascii="Arial Narrow" w:hAnsi="Arial Narrow"/>
                <w:sz w:val="22"/>
                <w:szCs w:val="22"/>
              </w:rPr>
            </w:pPr>
            <w:r>
              <w:rPr>
                <w:rFonts w:ascii="Arial Narrow" w:hAnsi="Arial Narrow"/>
                <w:sz w:val="22"/>
                <w:szCs w:val="22"/>
              </w:rPr>
              <w:t xml:space="preserve">к 1 кварталу 2019 </w:t>
            </w:r>
            <w:r w:rsidRPr="0062014E">
              <w:rPr>
                <w:rFonts w:ascii="Arial Narrow" w:hAnsi="Arial Narrow"/>
                <w:sz w:val="22"/>
                <w:szCs w:val="22"/>
              </w:rPr>
              <w:t>г</w:t>
            </w:r>
            <w:r>
              <w:rPr>
                <w:rFonts w:ascii="Arial Narrow" w:hAnsi="Arial Narrow"/>
                <w:sz w:val="22"/>
                <w:szCs w:val="22"/>
              </w:rPr>
              <w:t>ода</w:t>
            </w:r>
          </w:p>
        </w:tc>
        <w:tc>
          <w:tcPr>
            <w:tcW w:w="1125" w:type="dxa"/>
            <w:shd w:val="clear" w:color="auto" w:fill="FFC000"/>
            <w:vAlign w:val="center"/>
          </w:tcPr>
          <w:p w:rsidR="00E72E43" w:rsidRDefault="00E72E43" w:rsidP="00E72E43">
            <w:pPr>
              <w:jc w:val="center"/>
              <w:rPr>
                <w:rFonts w:ascii="Arial Narrow" w:hAnsi="Arial Narrow"/>
                <w:b/>
                <w:color w:val="1F497D" w:themeColor="text2"/>
              </w:rPr>
            </w:pPr>
            <w:r>
              <w:rPr>
                <w:rFonts w:ascii="Arial Narrow" w:hAnsi="Arial Narrow"/>
                <w:b/>
                <w:color w:val="1F497D" w:themeColor="text2"/>
              </w:rPr>
              <w:t>7 место</w:t>
            </w:r>
          </w:p>
        </w:tc>
        <w:tc>
          <w:tcPr>
            <w:tcW w:w="4244" w:type="dxa"/>
            <w:gridSpan w:val="11"/>
            <w:shd w:val="clear" w:color="auto" w:fill="DBE5F1" w:themeFill="accent1" w:themeFillTint="33"/>
          </w:tcPr>
          <w:p w:rsidR="00E72E43" w:rsidRPr="007B422C" w:rsidRDefault="00E72E43" w:rsidP="00E72E43">
            <w:pPr>
              <w:ind w:left="-85"/>
              <w:rPr>
                <w:noProof/>
                <w:sz w:val="2"/>
                <w:szCs w:val="2"/>
              </w:rPr>
            </w:pPr>
            <w:r w:rsidRPr="00752664">
              <w:rPr>
                <w:noProof/>
                <w:sz w:val="2"/>
                <w:szCs w:val="2"/>
              </w:rPr>
              <w:drawing>
                <wp:inline distT="0" distB="0" distL="0" distR="0">
                  <wp:extent cx="2676525" cy="571500"/>
                  <wp:effectExtent l="0" t="0" r="0" b="0"/>
                  <wp:docPr id="47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E72E43" w:rsidRPr="000467BA" w:rsidRDefault="00E72E43" w:rsidP="00E72E43">
            <w:pPr>
              <w:jc w:val="center"/>
              <w:rPr>
                <w:rFonts w:ascii="Arial Narrow" w:hAnsi="Arial Narrow"/>
                <w:sz w:val="18"/>
                <w:szCs w:val="18"/>
              </w:rPr>
            </w:pPr>
            <w:r w:rsidRPr="000467BA">
              <w:rPr>
                <w:rFonts w:ascii="Arial Narrow" w:hAnsi="Arial Narrow"/>
                <w:sz w:val="18"/>
                <w:szCs w:val="18"/>
              </w:rPr>
              <w:t xml:space="preserve">1 место: </w:t>
            </w:r>
            <w:r w:rsidRPr="007335BC">
              <w:rPr>
                <w:rFonts w:ascii="Arial Narrow" w:hAnsi="Arial Narrow"/>
                <w:sz w:val="18"/>
                <w:szCs w:val="18"/>
              </w:rPr>
              <w:t>Магаданская область</w:t>
            </w:r>
            <w:r>
              <w:rPr>
                <w:rFonts w:ascii="Arial Narrow" w:hAnsi="Arial Narrow"/>
                <w:sz w:val="18"/>
                <w:szCs w:val="18"/>
              </w:rPr>
              <w:t xml:space="preserve">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103,7</w:t>
            </w:r>
            <w:r w:rsidRPr="000467BA">
              <w:rPr>
                <w:rFonts w:ascii="Arial Narrow" w:hAnsi="Arial Narrow"/>
                <w:sz w:val="18"/>
                <w:szCs w:val="18"/>
              </w:rPr>
              <w:t>%</w:t>
            </w:r>
          </w:p>
          <w:p w:rsidR="00E72E43" w:rsidRPr="000467BA" w:rsidRDefault="00E72E43" w:rsidP="00E72E43">
            <w:pPr>
              <w:jc w:val="center"/>
              <w:rPr>
                <w:rFonts w:ascii="Arial Narrow" w:hAnsi="Arial Narrow"/>
                <w:sz w:val="18"/>
                <w:szCs w:val="18"/>
              </w:rPr>
            </w:pPr>
            <w:r w:rsidRPr="000467BA">
              <w:rPr>
                <w:rFonts w:ascii="Arial Narrow" w:hAnsi="Arial Narrow"/>
                <w:sz w:val="18"/>
                <w:szCs w:val="18"/>
              </w:rPr>
              <w:t>11 место</w:t>
            </w:r>
            <w:r w:rsidRPr="004E69F0">
              <w:rPr>
                <w:rFonts w:ascii="Arial Narrow" w:hAnsi="Arial Narrow"/>
                <w:sz w:val="18"/>
                <w:szCs w:val="18"/>
              </w:rPr>
              <w:t xml:space="preserve">: </w:t>
            </w:r>
            <w:r w:rsidRPr="00283C70">
              <w:rPr>
                <w:rFonts w:ascii="Arial Narrow" w:hAnsi="Arial Narrow"/>
                <w:sz w:val="18"/>
                <w:szCs w:val="18"/>
              </w:rPr>
              <w:t>Еврейская АО</w:t>
            </w:r>
            <w:r w:rsidRPr="000467BA">
              <w:rPr>
                <w:rFonts w:ascii="Arial Narrow" w:hAnsi="Arial Narrow"/>
                <w:sz w:val="18"/>
                <w:szCs w:val="18"/>
              </w:rPr>
              <w:t xml:space="preserve"> –</w:t>
            </w:r>
            <w:r>
              <w:rPr>
                <w:rFonts w:ascii="Arial Narrow" w:hAnsi="Arial Narrow"/>
                <w:sz w:val="18"/>
                <w:szCs w:val="18"/>
              </w:rPr>
              <w:t xml:space="preserve"> 98,9</w:t>
            </w:r>
            <w:r w:rsidRPr="000467BA">
              <w:rPr>
                <w:rFonts w:ascii="Arial Narrow" w:hAnsi="Arial Narrow"/>
                <w:sz w:val="18"/>
                <w:szCs w:val="18"/>
              </w:rPr>
              <w:t>%</w:t>
            </w:r>
          </w:p>
        </w:tc>
      </w:tr>
      <w:tr w:rsidR="00E72E43" w:rsidRPr="00A33929" w:rsidTr="00E72E43">
        <w:trPr>
          <w:cantSplit/>
          <w:trHeight w:val="905"/>
        </w:trPr>
        <w:tc>
          <w:tcPr>
            <w:tcW w:w="3119" w:type="dxa"/>
            <w:shd w:val="clear" w:color="auto" w:fill="DBE5F1" w:themeFill="accent1" w:themeFillTint="33"/>
            <w:vAlign w:val="center"/>
          </w:tcPr>
          <w:p w:rsidR="00E72E43" w:rsidRPr="0062014E" w:rsidRDefault="00E72E43" w:rsidP="00E72E43">
            <w:pPr>
              <w:jc w:val="center"/>
              <w:rPr>
                <w:rFonts w:ascii="Arial Narrow" w:hAnsi="Arial Narrow"/>
                <w:sz w:val="22"/>
                <w:szCs w:val="22"/>
              </w:rPr>
            </w:pPr>
            <w:r w:rsidRPr="0062014E">
              <w:rPr>
                <w:rFonts w:ascii="Arial Narrow" w:hAnsi="Arial Narrow"/>
                <w:sz w:val="22"/>
                <w:szCs w:val="22"/>
              </w:rPr>
              <w:t>Реальная начисленная</w:t>
            </w:r>
          </w:p>
          <w:p w:rsidR="00E72E43" w:rsidRPr="0062014E" w:rsidRDefault="00E72E43" w:rsidP="00E72E43">
            <w:pPr>
              <w:jc w:val="center"/>
              <w:rPr>
                <w:rFonts w:ascii="Arial Narrow" w:hAnsi="Arial Narrow"/>
                <w:b/>
                <w:i/>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rPr>
              <w:t>3</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103,6</w:t>
            </w:r>
            <w:r w:rsidRPr="0062014E">
              <w:rPr>
                <w:rFonts w:ascii="Arial Narrow" w:hAnsi="Arial Narrow"/>
                <w:b/>
                <w:sz w:val="22"/>
                <w:szCs w:val="22"/>
              </w:rPr>
              <w:t xml:space="preserve">% </w:t>
            </w:r>
            <w:r w:rsidRPr="0062014E">
              <w:rPr>
                <w:rFonts w:ascii="Arial Narrow" w:hAnsi="Arial Narrow"/>
                <w:sz w:val="22"/>
                <w:szCs w:val="22"/>
              </w:rPr>
              <w:t xml:space="preserve">к </w:t>
            </w:r>
            <w:r>
              <w:rPr>
                <w:rFonts w:ascii="Arial Narrow" w:hAnsi="Arial Narrow"/>
                <w:sz w:val="22"/>
                <w:szCs w:val="22"/>
              </w:rPr>
              <w:t>январю-апрелю</w:t>
            </w:r>
            <w:r w:rsidRPr="0062014E">
              <w:rPr>
                <w:rFonts w:ascii="Arial Narrow" w:hAnsi="Arial Narrow"/>
                <w:sz w:val="22"/>
                <w:szCs w:val="22"/>
              </w:rPr>
              <w:t xml:space="preserve">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C000"/>
            <w:vAlign w:val="center"/>
          </w:tcPr>
          <w:p w:rsidR="00E72E43" w:rsidRPr="00104A67" w:rsidRDefault="00E72E43" w:rsidP="00E72E43">
            <w:pPr>
              <w:jc w:val="center"/>
              <w:rPr>
                <w:rFonts w:ascii="Arial Narrow" w:hAnsi="Arial Narrow"/>
                <w:b/>
                <w:color w:val="1F497D" w:themeColor="text2"/>
              </w:rPr>
            </w:pPr>
            <w:r>
              <w:rPr>
                <w:rFonts w:ascii="Arial Narrow" w:hAnsi="Arial Narrow"/>
                <w:b/>
                <w:color w:val="1F497D" w:themeColor="text2"/>
              </w:rPr>
              <w:t>8</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E72E43" w:rsidRPr="00A33929" w:rsidRDefault="00E72E43" w:rsidP="00E72E43">
            <w:pPr>
              <w:jc w:val="both"/>
              <w:rPr>
                <w:rFonts w:ascii="Arial" w:hAnsi="Arial" w:cs="Arial"/>
                <w:i/>
                <w:color w:val="000000"/>
                <w:sz w:val="18"/>
                <w:szCs w:val="18"/>
              </w:rPr>
            </w:pPr>
          </w:p>
          <w:p w:rsidR="00E72E43" w:rsidRPr="00A33929" w:rsidRDefault="00E72E43" w:rsidP="00E72E43">
            <w:pPr>
              <w:ind w:left="-85"/>
              <w:rPr>
                <w:rFonts w:ascii="Arial Narrow" w:hAnsi="Arial Narrow"/>
                <w:b/>
                <w:i/>
                <w:color w:val="1F497D" w:themeColor="text2"/>
                <w:sz w:val="2"/>
                <w:szCs w:val="2"/>
              </w:rPr>
            </w:pPr>
            <w:r w:rsidRPr="00D14B73">
              <w:rPr>
                <w:rFonts w:ascii="Arial Narrow" w:hAnsi="Arial Narrow"/>
                <w:b/>
                <w:i/>
                <w:noProof/>
                <w:color w:val="1F497D" w:themeColor="text2"/>
                <w:sz w:val="2"/>
                <w:szCs w:val="2"/>
              </w:rPr>
              <w:drawing>
                <wp:inline distT="0" distB="0" distL="0" distR="0">
                  <wp:extent cx="2674961" cy="634621"/>
                  <wp:effectExtent l="0" t="0" r="0" b="0"/>
                  <wp:docPr id="47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E72E43" w:rsidRPr="00283C70" w:rsidRDefault="00E72E43" w:rsidP="00E72E43">
            <w:pPr>
              <w:spacing w:line="200" w:lineRule="exact"/>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Чукотский автономный округ</w:t>
            </w:r>
            <w:r w:rsidRPr="004E69F0">
              <w:rPr>
                <w:rFonts w:ascii="Arial Narrow" w:hAnsi="Arial Narrow"/>
                <w:sz w:val="18"/>
                <w:szCs w:val="18"/>
              </w:rPr>
              <w:t xml:space="preserve"> –</w:t>
            </w:r>
            <w:r>
              <w:t xml:space="preserve"> </w:t>
            </w:r>
            <w:r>
              <w:rPr>
                <w:rFonts w:ascii="Arial Narrow" w:hAnsi="Arial Narrow"/>
                <w:sz w:val="18"/>
                <w:szCs w:val="18"/>
                <w:lang w:val="sah-RU"/>
              </w:rPr>
              <w:t>106,2</w:t>
            </w:r>
            <w:r w:rsidRPr="004E69F0">
              <w:rPr>
                <w:rFonts w:ascii="Arial Narrow" w:hAnsi="Arial Narrow"/>
                <w:sz w:val="18"/>
                <w:szCs w:val="18"/>
              </w:rPr>
              <w:t>%</w:t>
            </w:r>
            <w:r>
              <w:rPr>
                <w:rFonts w:ascii="Arial Narrow" w:hAnsi="Arial Narrow"/>
                <w:sz w:val="18"/>
                <w:szCs w:val="18"/>
              </w:rPr>
              <w:t>. 10-11 место: Хабаровский</w:t>
            </w:r>
            <w:r w:rsidRPr="00283C70">
              <w:rPr>
                <w:rFonts w:ascii="Arial Narrow" w:hAnsi="Arial Narrow"/>
                <w:sz w:val="18"/>
                <w:szCs w:val="18"/>
              </w:rPr>
              <w:t xml:space="preserve"> </w:t>
            </w:r>
          </w:p>
          <w:p w:rsidR="00E72E43" w:rsidRPr="00A33929" w:rsidRDefault="00E72E43" w:rsidP="00E72E43">
            <w:pPr>
              <w:spacing w:line="200" w:lineRule="exact"/>
              <w:jc w:val="center"/>
              <w:rPr>
                <w:rFonts w:ascii="Arial Narrow" w:hAnsi="Arial Narrow"/>
                <w:b/>
                <w:i/>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и </w:t>
            </w:r>
            <w:r w:rsidRPr="000467BA">
              <w:rPr>
                <w:rFonts w:ascii="Arial Narrow" w:hAnsi="Arial Narrow"/>
                <w:sz w:val="18"/>
                <w:szCs w:val="18"/>
              </w:rPr>
              <w:t>Сахалинская область</w:t>
            </w:r>
            <w:r>
              <w:rPr>
                <w:rFonts w:ascii="Arial Narrow" w:hAnsi="Arial Narrow"/>
                <w:sz w:val="18"/>
                <w:szCs w:val="18"/>
              </w:rPr>
              <w:t xml:space="preserve"> </w:t>
            </w:r>
            <w:r w:rsidRPr="004E69F0">
              <w:rPr>
                <w:rFonts w:ascii="Arial Narrow" w:hAnsi="Arial Narrow"/>
                <w:sz w:val="18"/>
                <w:szCs w:val="18"/>
              </w:rPr>
              <w:t xml:space="preserve">– </w:t>
            </w:r>
            <w:r>
              <w:rPr>
                <w:rFonts w:ascii="Arial Narrow" w:hAnsi="Arial Narrow"/>
                <w:sz w:val="18"/>
                <w:szCs w:val="18"/>
              </w:rPr>
              <w:t>102,5</w:t>
            </w:r>
            <w:r w:rsidRPr="004E69F0">
              <w:rPr>
                <w:rFonts w:ascii="Arial Narrow" w:hAnsi="Arial Narrow"/>
                <w:sz w:val="18"/>
                <w:szCs w:val="18"/>
              </w:rPr>
              <w:t>%</w:t>
            </w:r>
          </w:p>
        </w:tc>
      </w:tr>
    </w:tbl>
    <w:p w:rsidR="00E72E43" w:rsidRPr="0062014E" w:rsidRDefault="00E72E43" w:rsidP="00E72E43">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E72E43" w:rsidRPr="0062014E" w:rsidRDefault="00E72E43" w:rsidP="00E72E43">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E72E43" w:rsidRPr="008C10AB" w:rsidRDefault="00E72E43" w:rsidP="00E72E43">
      <w:pPr>
        <w:pStyle w:val="a7"/>
        <w:widowControl w:val="0"/>
        <w:ind w:firstLine="0"/>
        <w:jc w:val="left"/>
        <w:rPr>
          <w:rFonts w:ascii="Arial Narrow" w:hAnsi="Arial Narrow"/>
          <w:sz w:val="18"/>
          <w:szCs w:val="18"/>
        </w:rPr>
      </w:pPr>
      <w:r w:rsidRPr="00AF7BB1">
        <w:rPr>
          <w:rFonts w:ascii="Arial Narrow" w:hAnsi="Arial Narrow"/>
          <w:sz w:val="18"/>
          <w:szCs w:val="18"/>
          <w:vertAlign w:val="superscript"/>
        </w:rPr>
        <w:t>1)</w:t>
      </w:r>
      <w:r w:rsidRPr="00AF7BB1">
        <w:t xml:space="preserve"> </w:t>
      </w:r>
      <w:r w:rsidRPr="00AF7BB1">
        <w:rPr>
          <w:rFonts w:ascii="Arial Narrow" w:hAnsi="Arial Narrow"/>
          <w:sz w:val="18"/>
          <w:szCs w:val="18"/>
        </w:rPr>
        <w:t>Без учета жилых домов, построенных на земельных участках, предназначенных для</w:t>
      </w:r>
      <w:r>
        <w:rPr>
          <w:rFonts w:ascii="Arial Narrow" w:hAnsi="Arial Narrow"/>
          <w:sz w:val="18"/>
          <w:szCs w:val="18"/>
        </w:rPr>
        <w:t xml:space="preserve"> ведения гражданами садоводства</w:t>
      </w:r>
    </w:p>
    <w:p w:rsidR="00E72E43" w:rsidRPr="008C10AB" w:rsidRDefault="00E72E43" w:rsidP="00E72E43">
      <w:pPr>
        <w:ind w:left="170" w:hanging="170"/>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E72E43" w:rsidRPr="008C10AB" w:rsidRDefault="00E72E43" w:rsidP="00E72E43">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 по структуре текущего периода. </w:t>
      </w:r>
    </w:p>
    <w:sectPr w:rsidR="00E72E43" w:rsidRPr="008C10AB" w:rsidSect="004C767B">
      <w:headerReference w:type="even" r:id="rId31"/>
      <w:headerReference w:type="default" r:id="rId32"/>
      <w:footnotePr>
        <w:numRestart w:val="eachPage"/>
      </w:footnotePr>
      <w:pgSz w:w="11907" w:h="16840" w:code="9"/>
      <w:pgMar w:top="1134" w:right="964" w:bottom="567" w:left="1134" w:header="573" w:footer="69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95C" w:rsidRDefault="003A395C">
      <w:r>
        <w:separator/>
      </w:r>
    </w:p>
  </w:endnote>
  <w:endnote w:type="continuationSeparator" w:id="1">
    <w:p w:rsidR="003A395C" w:rsidRDefault="003A39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95C" w:rsidRDefault="003A395C">
      <w:r>
        <w:separator/>
      </w:r>
    </w:p>
  </w:footnote>
  <w:footnote w:type="continuationSeparator" w:id="1">
    <w:p w:rsidR="003A395C" w:rsidRDefault="003A3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355"/>
    </w:tblGrid>
    <w:tr w:rsidR="003A395C" w:rsidTr="004B0964">
      <w:trPr>
        <w:trHeight w:val="131"/>
      </w:trPr>
      <w:tc>
        <w:tcPr>
          <w:tcW w:w="710" w:type="dxa"/>
          <w:shd w:val="clear" w:color="auto" w:fill="4F81BD"/>
        </w:tcPr>
        <w:p w:rsidR="003A395C" w:rsidRPr="00575025" w:rsidRDefault="00882AE3" w:rsidP="00CF1A9D">
          <w:pPr>
            <w:pStyle w:val="a5"/>
            <w:tabs>
              <w:tab w:val="left" w:pos="0"/>
            </w:tabs>
            <w:jc w:val="center"/>
            <w:rPr>
              <w:sz w:val="24"/>
            </w:rPr>
          </w:pPr>
          <w:r w:rsidRPr="00575025">
            <w:rPr>
              <w:rStyle w:val="aa"/>
              <w:rFonts w:ascii="Century Gothic" w:hAnsi="Century Gothic"/>
              <w:color w:val="FFFFFF"/>
              <w:sz w:val="24"/>
            </w:rPr>
            <w:fldChar w:fldCharType="begin"/>
          </w:r>
          <w:r w:rsidR="003A395C" w:rsidRPr="00575025">
            <w:rPr>
              <w:rStyle w:val="aa"/>
              <w:rFonts w:ascii="Century Gothic" w:hAnsi="Century Gothic"/>
              <w:color w:val="FFFFFF"/>
              <w:sz w:val="24"/>
            </w:rPr>
            <w:instrText xml:space="preserve">PAGE  </w:instrText>
          </w:r>
          <w:r w:rsidRPr="00575025">
            <w:rPr>
              <w:rStyle w:val="aa"/>
              <w:rFonts w:ascii="Century Gothic" w:hAnsi="Century Gothic"/>
              <w:color w:val="FFFFFF"/>
              <w:sz w:val="24"/>
            </w:rPr>
            <w:fldChar w:fldCharType="separate"/>
          </w:r>
          <w:r w:rsidR="004C767B">
            <w:rPr>
              <w:rStyle w:val="aa"/>
              <w:rFonts w:ascii="Century Gothic" w:hAnsi="Century Gothic"/>
              <w:noProof/>
              <w:color w:val="FFFFFF"/>
              <w:sz w:val="24"/>
            </w:rPr>
            <w:t>2</w:t>
          </w:r>
          <w:r w:rsidRPr="00575025">
            <w:rPr>
              <w:rStyle w:val="aa"/>
              <w:rFonts w:ascii="Century Gothic" w:hAnsi="Century Gothic"/>
              <w:color w:val="FFFFFF"/>
              <w:sz w:val="24"/>
            </w:rPr>
            <w:fldChar w:fldCharType="end"/>
          </w:r>
        </w:p>
      </w:tc>
      <w:tc>
        <w:tcPr>
          <w:tcW w:w="9355" w:type="dxa"/>
          <w:tcBorders>
            <w:right w:val="nil"/>
          </w:tcBorders>
        </w:tcPr>
        <w:p w:rsidR="003A395C" w:rsidRPr="008B76FD" w:rsidRDefault="003A395C" w:rsidP="00B834DC">
          <w:pPr>
            <w:spacing w:before="20"/>
            <w:rPr>
              <w:rFonts w:ascii="Arial Narrow" w:hAnsi="Arial Narrow"/>
              <w:b/>
              <w:color w:val="244061"/>
            </w:rPr>
          </w:pPr>
          <w:r>
            <w:rPr>
              <w:rFonts w:ascii="Arial Narrow" w:hAnsi="Arial Narrow"/>
              <w:i/>
              <w:color w:val="244061"/>
            </w:rPr>
            <w:t xml:space="preserve">Методологический комментарий </w:t>
          </w:r>
        </w:p>
      </w:tc>
    </w:tr>
  </w:tbl>
  <w:p w:rsidR="003A395C" w:rsidRDefault="003A39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auto"/>
        <w:bottom w:val="single" w:sz="4" w:space="0" w:color="auto"/>
        <w:right w:val="single" w:sz="4" w:space="0" w:color="auto"/>
        <w:insideH w:val="single" w:sz="4" w:space="0" w:color="auto"/>
        <w:insideV w:val="single" w:sz="4" w:space="0" w:color="auto"/>
      </w:tblBorders>
      <w:tblLook w:val="04A0"/>
    </w:tblPr>
    <w:tblGrid>
      <w:gridCol w:w="9356"/>
      <w:gridCol w:w="709"/>
    </w:tblGrid>
    <w:tr w:rsidR="003A395C" w:rsidRPr="002C6794" w:rsidTr="004B0964">
      <w:trPr>
        <w:trHeight w:val="268"/>
      </w:trPr>
      <w:tc>
        <w:tcPr>
          <w:tcW w:w="9356" w:type="dxa"/>
          <w:shd w:val="clear" w:color="auto" w:fill="auto"/>
        </w:tcPr>
        <w:p w:rsidR="003A395C" w:rsidRPr="004B0964" w:rsidRDefault="003A395C" w:rsidP="00B372EF">
          <w:pPr>
            <w:jc w:val="right"/>
            <w:rPr>
              <w:rFonts w:ascii="Arial Narrow" w:hAnsi="Arial Narrow"/>
              <w:i/>
              <w:color w:val="1F497D"/>
            </w:rPr>
          </w:pPr>
          <w:r>
            <w:rPr>
              <w:rFonts w:ascii="Arial Narrow" w:hAnsi="Arial Narrow"/>
              <w:i/>
              <w:color w:val="1F497D"/>
            </w:rPr>
            <w:t xml:space="preserve">Методологический комментарий </w:t>
          </w:r>
        </w:p>
      </w:tc>
      <w:tc>
        <w:tcPr>
          <w:tcW w:w="709" w:type="dxa"/>
          <w:shd w:val="clear" w:color="auto" w:fill="4F81BD"/>
        </w:tcPr>
        <w:p w:rsidR="003A395C" w:rsidRPr="00575025" w:rsidRDefault="00882AE3" w:rsidP="00CF1A9D">
          <w:pPr>
            <w:pStyle w:val="a5"/>
            <w:tabs>
              <w:tab w:val="left" w:pos="0"/>
            </w:tabs>
            <w:jc w:val="center"/>
            <w:rPr>
              <w:rFonts w:ascii="Century Gothic" w:hAnsi="Century Gothic"/>
              <w:color w:val="FFFFFF"/>
              <w:sz w:val="24"/>
            </w:rPr>
          </w:pPr>
          <w:r w:rsidRPr="00575025">
            <w:rPr>
              <w:rStyle w:val="aa"/>
              <w:rFonts w:ascii="Century Gothic" w:hAnsi="Century Gothic"/>
              <w:color w:val="FFFFFF"/>
              <w:sz w:val="24"/>
            </w:rPr>
            <w:fldChar w:fldCharType="begin"/>
          </w:r>
          <w:r w:rsidR="003A395C" w:rsidRPr="00575025">
            <w:rPr>
              <w:rStyle w:val="aa"/>
              <w:rFonts w:ascii="Century Gothic" w:hAnsi="Century Gothic"/>
              <w:color w:val="FFFFFF"/>
              <w:sz w:val="24"/>
            </w:rPr>
            <w:instrText xml:space="preserve">PAGE  </w:instrText>
          </w:r>
          <w:r w:rsidRPr="00575025">
            <w:rPr>
              <w:rStyle w:val="aa"/>
              <w:rFonts w:ascii="Century Gothic" w:hAnsi="Century Gothic"/>
              <w:color w:val="FFFFFF"/>
              <w:sz w:val="24"/>
            </w:rPr>
            <w:fldChar w:fldCharType="separate"/>
          </w:r>
          <w:r w:rsidR="004C767B">
            <w:rPr>
              <w:rStyle w:val="aa"/>
              <w:rFonts w:ascii="Century Gothic" w:hAnsi="Century Gothic"/>
              <w:noProof/>
              <w:color w:val="FFFFFF"/>
              <w:sz w:val="24"/>
            </w:rPr>
            <w:t>1</w:t>
          </w:r>
          <w:r w:rsidRPr="00575025">
            <w:rPr>
              <w:rStyle w:val="aa"/>
              <w:rFonts w:ascii="Century Gothic" w:hAnsi="Century Gothic"/>
              <w:color w:val="FFFFFF"/>
              <w:sz w:val="24"/>
            </w:rPr>
            <w:fldChar w:fldCharType="end"/>
          </w:r>
        </w:p>
      </w:tc>
    </w:tr>
  </w:tbl>
  <w:p w:rsidR="003A395C" w:rsidRDefault="003A39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939A0"/>
    <w:multiLevelType w:val="hybridMultilevel"/>
    <w:tmpl w:val="CE4A931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E0401"/>
    <w:multiLevelType w:val="hybridMultilevel"/>
    <w:tmpl w:val="3EA21F42"/>
    <w:lvl w:ilvl="0" w:tplc="AB4C31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7850"/>
    <w:multiLevelType w:val="hybridMultilevel"/>
    <w:tmpl w:val="E3EE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136502"/>
    <w:multiLevelType w:val="hybridMultilevel"/>
    <w:tmpl w:val="287225A6"/>
    <w:lvl w:ilvl="0" w:tplc="A8FAFF3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0">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04570E7"/>
    <w:multiLevelType w:val="hybridMultilevel"/>
    <w:tmpl w:val="40F2E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7">
    <w:nsid w:val="33F20E8A"/>
    <w:multiLevelType w:val="hybridMultilevel"/>
    <w:tmpl w:val="10E44B40"/>
    <w:lvl w:ilvl="0" w:tplc="56D0CFA4">
      <w:start w:val="1"/>
      <w:numFmt w:val="bullet"/>
      <w:lvlText w:val=""/>
      <w:lvlJc w:val="left"/>
      <w:pPr>
        <w:ind w:left="1485" w:hanging="360"/>
      </w:pPr>
      <w:rPr>
        <w:rFonts w:ascii="Wingdings" w:hAnsi="Wingdings" w:hint="default"/>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5E71C0F"/>
    <w:multiLevelType w:val="hybridMultilevel"/>
    <w:tmpl w:val="E918ED96"/>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9">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0">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3">
    <w:nsid w:val="40D85BCB"/>
    <w:multiLevelType w:val="hybridMultilevel"/>
    <w:tmpl w:val="81C8573A"/>
    <w:lvl w:ilvl="0" w:tplc="BDCAA398">
      <w:start w:val="1"/>
      <w:numFmt w:val="bullet"/>
      <w:lvlText w:val=""/>
      <w:lvlJc w:val="left"/>
      <w:pPr>
        <w:ind w:left="759" w:hanging="360"/>
      </w:pPr>
      <w:rPr>
        <w:rFonts w:ascii="Wingdings" w:hAnsi="Wingdings" w:hint="default"/>
        <w:color w:val="auto"/>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4">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5841A62"/>
    <w:multiLevelType w:val="hybridMultilevel"/>
    <w:tmpl w:val="B81207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9">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E54F36"/>
    <w:multiLevelType w:val="hybridMultilevel"/>
    <w:tmpl w:val="FF805E1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1">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35">
    <w:nsid w:val="60C70CCA"/>
    <w:multiLevelType w:val="hybridMultilevel"/>
    <w:tmpl w:val="DE4EED10"/>
    <w:lvl w:ilvl="0" w:tplc="56D0CFA4">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BA31A4"/>
    <w:multiLevelType w:val="hybridMultilevel"/>
    <w:tmpl w:val="5DD4EB78"/>
    <w:lvl w:ilvl="0" w:tplc="E5A0A6FA">
      <w:start w:val="1"/>
      <w:numFmt w:val="bullet"/>
      <w:lvlText w:val=""/>
      <w:lvlJc w:val="left"/>
      <w:pPr>
        <w:ind w:left="754" w:hanging="360"/>
      </w:pPr>
      <w:rPr>
        <w:rFonts w:ascii="Wingdings" w:hAnsi="Wingdings" w:hint="default"/>
        <w:b/>
        <w:color w:val="FF0000"/>
        <w:sz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674D387D"/>
    <w:multiLevelType w:val="hybridMultilevel"/>
    <w:tmpl w:val="CA8AAAD6"/>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561673"/>
    <w:multiLevelType w:val="hybridMultilevel"/>
    <w:tmpl w:val="353C93FE"/>
    <w:lvl w:ilvl="0" w:tplc="7320FAD6">
      <w:start w:val="1"/>
      <w:numFmt w:val="bullet"/>
      <w:lvlText w:val=""/>
      <w:lvlJc w:val="left"/>
      <w:pPr>
        <w:ind w:left="975" w:hanging="360"/>
      </w:pPr>
      <w:rPr>
        <w:rFonts w:ascii="Wingdings" w:hAnsi="Wingdings" w:hint="default"/>
        <w:b/>
        <w:color w:val="00B050"/>
        <w:sz w:val="24"/>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4">
    <w:nsid w:val="70F65BB9"/>
    <w:multiLevelType w:val="hybridMultilevel"/>
    <w:tmpl w:val="4BDED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BFB2ACC"/>
    <w:multiLevelType w:val="hybridMultilevel"/>
    <w:tmpl w:val="756E7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49">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2"/>
  </w:num>
  <w:num w:numId="2">
    <w:abstractNumId w:val="24"/>
  </w:num>
  <w:num w:numId="3">
    <w:abstractNumId w:val="23"/>
  </w:num>
  <w:num w:numId="4">
    <w:abstractNumId w:val="22"/>
  </w:num>
  <w:num w:numId="5">
    <w:abstractNumId w:val="20"/>
  </w:num>
  <w:num w:numId="6">
    <w:abstractNumId w:val="40"/>
  </w:num>
  <w:num w:numId="7">
    <w:abstractNumId w:val="28"/>
  </w:num>
  <w:num w:numId="8">
    <w:abstractNumId w:val="39"/>
  </w:num>
  <w:num w:numId="9">
    <w:abstractNumId w:val="2"/>
  </w:num>
  <w:num w:numId="10">
    <w:abstractNumId w:val="14"/>
  </w:num>
  <w:num w:numId="11">
    <w:abstractNumId w:val="34"/>
  </w:num>
  <w:num w:numId="12">
    <w:abstractNumId w:val="42"/>
  </w:num>
  <w:num w:numId="13">
    <w:abstractNumId w:val="19"/>
  </w:num>
  <w:num w:numId="14">
    <w:abstractNumId w:val="0"/>
  </w:num>
  <w:num w:numId="15">
    <w:abstractNumId w:val="46"/>
  </w:num>
  <w:num w:numId="16">
    <w:abstractNumId w:val="44"/>
  </w:num>
  <w:num w:numId="17">
    <w:abstractNumId w:val="13"/>
  </w:num>
  <w:num w:numId="18">
    <w:abstractNumId w:val="29"/>
  </w:num>
  <w:num w:numId="19">
    <w:abstractNumId w:val="10"/>
  </w:num>
  <w:num w:numId="20">
    <w:abstractNumId w:val="16"/>
  </w:num>
  <w:num w:numId="21">
    <w:abstractNumId w:val="3"/>
  </w:num>
  <w:num w:numId="22">
    <w:abstractNumId w:val="6"/>
  </w:num>
  <w:num w:numId="23">
    <w:abstractNumId w:val="9"/>
  </w:num>
  <w:num w:numId="24">
    <w:abstractNumId w:val="37"/>
  </w:num>
  <w:num w:numId="25">
    <w:abstractNumId w:val="21"/>
  </w:num>
  <w:num w:numId="26">
    <w:abstractNumId w:val="7"/>
  </w:num>
  <w:num w:numId="27">
    <w:abstractNumId w:val="38"/>
  </w:num>
  <w:num w:numId="28">
    <w:abstractNumId w:val="48"/>
  </w:num>
  <w:num w:numId="29">
    <w:abstractNumId w:val="8"/>
  </w:num>
  <w:num w:numId="30">
    <w:abstractNumId w:val="11"/>
  </w:num>
  <w:num w:numId="31">
    <w:abstractNumId w:val="43"/>
  </w:num>
  <w:num w:numId="32">
    <w:abstractNumId w:val="26"/>
  </w:num>
  <w:num w:numId="33">
    <w:abstractNumId w:val="32"/>
  </w:num>
  <w:num w:numId="34">
    <w:abstractNumId w:val="41"/>
  </w:num>
  <w:num w:numId="35">
    <w:abstractNumId w:val="25"/>
  </w:num>
  <w:num w:numId="36">
    <w:abstractNumId w:val="31"/>
  </w:num>
  <w:num w:numId="37">
    <w:abstractNumId w:val="45"/>
  </w:num>
  <w:num w:numId="38">
    <w:abstractNumId w:val="33"/>
  </w:num>
  <w:num w:numId="39">
    <w:abstractNumId w:val="49"/>
  </w:num>
  <w:num w:numId="40">
    <w:abstractNumId w:val="5"/>
  </w:num>
  <w:num w:numId="41">
    <w:abstractNumId w:val="36"/>
  </w:num>
  <w:num w:numId="42">
    <w:abstractNumId w:val="1"/>
  </w:num>
  <w:num w:numId="43">
    <w:abstractNumId w:val="47"/>
  </w:num>
  <w:num w:numId="44">
    <w:abstractNumId w:val="35"/>
  </w:num>
  <w:num w:numId="45">
    <w:abstractNumId w:val="17"/>
  </w:num>
  <w:num w:numId="46">
    <w:abstractNumId w:val="30"/>
  </w:num>
  <w:num w:numId="47">
    <w:abstractNumId w:val="15"/>
  </w:num>
  <w:num w:numId="48">
    <w:abstractNumId w:val="18"/>
  </w:num>
  <w:num w:numId="49">
    <w:abstractNumId w:val="4"/>
  </w:num>
  <w:num w:numId="50">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397"/>
  <w:doNotHyphenateCaps/>
  <w:evenAndOddHeaders/>
  <w:drawingGridHorizontalSpacing w:val="120"/>
  <w:displayHorizontalDrawingGridEvery w:val="2"/>
  <w:noPunctuationKerning/>
  <w:characterSpacingControl w:val="doNotCompress"/>
  <w:hdrShapeDefaults>
    <o:shapedefaults v:ext="edit" spidmax="89089" style="mso-position-horizontal-relative:margin" o:allowoverlap="f" fill="f" fillcolor="white" stroke="f">
      <v:fill color="white" on="f"/>
      <v:stroke on="f"/>
      <o:colormenu v:ext="edit" strokecolor="none [3213]"/>
    </o:shapedefaults>
  </w:hdrShapeDefaults>
  <w:footnotePr>
    <w:numRestart w:val="eachPage"/>
    <w:footnote w:id="0"/>
    <w:footnote w:id="1"/>
  </w:footnotePr>
  <w:endnotePr>
    <w:endnote w:id="0"/>
    <w:endnote w:id="1"/>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B55"/>
    <w:rsid w:val="00020EF7"/>
    <w:rsid w:val="0002105B"/>
    <w:rsid w:val="00021080"/>
    <w:rsid w:val="000212BD"/>
    <w:rsid w:val="000212E9"/>
    <w:rsid w:val="00021707"/>
    <w:rsid w:val="00021721"/>
    <w:rsid w:val="000217DB"/>
    <w:rsid w:val="000217E5"/>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257"/>
    <w:rsid w:val="00030392"/>
    <w:rsid w:val="00030671"/>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3A6"/>
    <w:rsid w:val="00046546"/>
    <w:rsid w:val="00046606"/>
    <w:rsid w:val="00046713"/>
    <w:rsid w:val="0004690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7106"/>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EC"/>
    <w:rsid w:val="000A1BF8"/>
    <w:rsid w:val="000A1D6F"/>
    <w:rsid w:val="000A1FDA"/>
    <w:rsid w:val="000A205C"/>
    <w:rsid w:val="000A2149"/>
    <w:rsid w:val="000A2167"/>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89C"/>
    <w:rsid w:val="00121B06"/>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0C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BA"/>
    <w:rsid w:val="001A23F8"/>
    <w:rsid w:val="001A2486"/>
    <w:rsid w:val="001A24D2"/>
    <w:rsid w:val="001A25D6"/>
    <w:rsid w:val="001A269C"/>
    <w:rsid w:val="001A2732"/>
    <w:rsid w:val="001A2A38"/>
    <w:rsid w:val="001A2A78"/>
    <w:rsid w:val="001A2BCD"/>
    <w:rsid w:val="001A3150"/>
    <w:rsid w:val="001A334D"/>
    <w:rsid w:val="001A362A"/>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6CD"/>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71"/>
    <w:rsid w:val="002A6AB2"/>
    <w:rsid w:val="002A6F3F"/>
    <w:rsid w:val="002A6F51"/>
    <w:rsid w:val="002A6F56"/>
    <w:rsid w:val="002A6F8E"/>
    <w:rsid w:val="002A7045"/>
    <w:rsid w:val="002A7117"/>
    <w:rsid w:val="002A717E"/>
    <w:rsid w:val="002A737F"/>
    <w:rsid w:val="002A75BC"/>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38A"/>
    <w:rsid w:val="002E15DF"/>
    <w:rsid w:val="002E1625"/>
    <w:rsid w:val="002E166C"/>
    <w:rsid w:val="002E16F8"/>
    <w:rsid w:val="002E1BC4"/>
    <w:rsid w:val="002E1CAB"/>
    <w:rsid w:val="002E1DF6"/>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253"/>
    <w:rsid w:val="0039147B"/>
    <w:rsid w:val="003914AE"/>
    <w:rsid w:val="003914C3"/>
    <w:rsid w:val="003916C5"/>
    <w:rsid w:val="0039178A"/>
    <w:rsid w:val="0039181E"/>
    <w:rsid w:val="00391A24"/>
    <w:rsid w:val="00391A5C"/>
    <w:rsid w:val="00391B46"/>
    <w:rsid w:val="00391B8F"/>
    <w:rsid w:val="00391C06"/>
    <w:rsid w:val="00391CE7"/>
    <w:rsid w:val="003920F1"/>
    <w:rsid w:val="00392154"/>
    <w:rsid w:val="0039221D"/>
    <w:rsid w:val="00392267"/>
    <w:rsid w:val="0039261C"/>
    <w:rsid w:val="0039281F"/>
    <w:rsid w:val="00392B48"/>
    <w:rsid w:val="00392B73"/>
    <w:rsid w:val="00392CB0"/>
    <w:rsid w:val="00392DE3"/>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107"/>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C23"/>
    <w:rsid w:val="003A2CA3"/>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BD9"/>
    <w:rsid w:val="003D6F9B"/>
    <w:rsid w:val="003D704A"/>
    <w:rsid w:val="003D7103"/>
    <w:rsid w:val="003D7169"/>
    <w:rsid w:val="003D73AB"/>
    <w:rsid w:val="003D74C6"/>
    <w:rsid w:val="003D787E"/>
    <w:rsid w:val="003D79CE"/>
    <w:rsid w:val="003D7AB6"/>
    <w:rsid w:val="003D7B85"/>
    <w:rsid w:val="003D7B89"/>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8DD"/>
    <w:rsid w:val="003E4A31"/>
    <w:rsid w:val="003E4AA2"/>
    <w:rsid w:val="003E4BFA"/>
    <w:rsid w:val="003E4D6C"/>
    <w:rsid w:val="003E4E0F"/>
    <w:rsid w:val="003E4E4B"/>
    <w:rsid w:val="003E4E94"/>
    <w:rsid w:val="003E513E"/>
    <w:rsid w:val="003E519B"/>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C2E"/>
    <w:rsid w:val="003F6C3F"/>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C19"/>
    <w:rsid w:val="00402D9F"/>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B8C"/>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C87"/>
    <w:rsid w:val="00476E88"/>
    <w:rsid w:val="00476F83"/>
    <w:rsid w:val="00476F84"/>
    <w:rsid w:val="0047707E"/>
    <w:rsid w:val="004772C2"/>
    <w:rsid w:val="0047736E"/>
    <w:rsid w:val="0047746D"/>
    <w:rsid w:val="004775D4"/>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437"/>
    <w:rsid w:val="00483456"/>
    <w:rsid w:val="00483838"/>
    <w:rsid w:val="00483873"/>
    <w:rsid w:val="00483878"/>
    <w:rsid w:val="00483924"/>
    <w:rsid w:val="00483D3F"/>
    <w:rsid w:val="00483E30"/>
    <w:rsid w:val="00483E4B"/>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6083"/>
    <w:rsid w:val="004B60BC"/>
    <w:rsid w:val="004B61AA"/>
    <w:rsid w:val="004B620F"/>
    <w:rsid w:val="004B6350"/>
    <w:rsid w:val="004B639B"/>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2D5"/>
    <w:rsid w:val="004C7422"/>
    <w:rsid w:val="004C7462"/>
    <w:rsid w:val="004C767B"/>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951"/>
    <w:rsid w:val="004E29C5"/>
    <w:rsid w:val="004E2D2B"/>
    <w:rsid w:val="004E2D34"/>
    <w:rsid w:val="004E2E27"/>
    <w:rsid w:val="004E2E91"/>
    <w:rsid w:val="004E327A"/>
    <w:rsid w:val="004E3425"/>
    <w:rsid w:val="004E3548"/>
    <w:rsid w:val="004E35C5"/>
    <w:rsid w:val="004E373D"/>
    <w:rsid w:val="004E3B43"/>
    <w:rsid w:val="004E3B56"/>
    <w:rsid w:val="004E3E1A"/>
    <w:rsid w:val="004E450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3B6"/>
    <w:rsid w:val="005024BA"/>
    <w:rsid w:val="0050281A"/>
    <w:rsid w:val="00502B2A"/>
    <w:rsid w:val="00502C3F"/>
    <w:rsid w:val="00502CA3"/>
    <w:rsid w:val="00503008"/>
    <w:rsid w:val="0050318B"/>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15E"/>
    <w:rsid w:val="005062AD"/>
    <w:rsid w:val="005063DE"/>
    <w:rsid w:val="005064F4"/>
    <w:rsid w:val="0050653C"/>
    <w:rsid w:val="0050657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6E"/>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B5D"/>
    <w:rsid w:val="00585CC0"/>
    <w:rsid w:val="00585CD7"/>
    <w:rsid w:val="005861DF"/>
    <w:rsid w:val="00586744"/>
    <w:rsid w:val="00586883"/>
    <w:rsid w:val="00586D07"/>
    <w:rsid w:val="00586F1C"/>
    <w:rsid w:val="00587008"/>
    <w:rsid w:val="00587024"/>
    <w:rsid w:val="0058778F"/>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3CB0"/>
    <w:rsid w:val="00594002"/>
    <w:rsid w:val="00594407"/>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319"/>
    <w:rsid w:val="005B448D"/>
    <w:rsid w:val="005B45F0"/>
    <w:rsid w:val="005B4610"/>
    <w:rsid w:val="005B4D55"/>
    <w:rsid w:val="005B4EDF"/>
    <w:rsid w:val="005B4F69"/>
    <w:rsid w:val="005B4FD9"/>
    <w:rsid w:val="005B5431"/>
    <w:rsid w:val="005B54F0"/>
    <w:rsid w:val="005B550E"/>
    <w:rsid w:val="005B579B"/>
    <w:rsid w:val="005B57A7"/>
    <w:rsid w:val="005B587A"/>
    <w:rsid w:val="005B595B"/>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8C"/>
    <w:rsid w:val="00630CE9"/>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40A6"/>
    <w:rsid w:val="00644149"/>
    <w:rsid w:val="006442FB"/>
    <w:rsid w:val="00644865"/>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56A"/>
    <w:rsid w:val="00647601"/>
    <w:rsid w:val="006476CD"/>
    <w:rsid w:val="00647751"/>
    <w:rsid w:val="006478F6"/>
    <w:rsid w:val="00647957"/>
    <w:rsid w:val="00647B4D"/>
    <w:rsid w:val="00647C8E"/>
    <w:rsid w:val="00647D69"/>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A31"/>
    <w:rsid w:val="00672A96"/>
    <w:rsid w:val="00672BD9"/>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944"/>
    <w:rsid w:val="00684A8C"/>
    <w:rsid w:val="00684E6B"/>
    <w:rsid w:val="006852FE"/>
    <w:rsid w:val="0068552C"/>
    <w:rsid w:val="006855AB"/>
    <w:rsid w:val="006856AB"/>
    <w:rsid w:val="0068579E"/>
    <w:rsid w:val="00685DE8"/>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36"/>
    <w:rsid w:val="006D21A6"/>
    <w:rsid w:val="006D21B7"/>
    <w:rsid w:val="006D2C12"/>
    <w:rsid w:val="006D2C32"/>
    <w:rsid w:val="006D2E69"/>
    <w:rsid w:val="006D32F0"/>
    <w:rsid w:val="006D3691"/>
    <w:rsid w:val="006D36ED"/>
    <w:rsid w:val="006D39F4"/>
    <w:rsid w:val="006D3BCE"/>
    <w:rsid w:val="006D3C01"/>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43"/>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C66"/>
    <w:rsid w:val="006E1C8B"/>
    <w:rsid w:val="006E1CE1"/>
    <w:rsid w:val="006E210F"/>
    <w:rsid w:val="006E21C7"/>
    <w:rsid w:val="006E21EB"/>
    <w:rsid w:val="006E237E"/>
    <w:rsid w:val="006E24A0"/>
    <w:rsid w:val="006E289D"/>
    <w:rsid w:val="006E2952"/>
    <w:rsid w:val="006E2B9D"/>
    <w:rsid w:val="006E2C57"/>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5026"/>
    <w:rsid w:val="007252F7"/>
    <w:rsid w:val="00725335"/>
    <w:rsid w:val="0072546C"/>
    <w:rsid w:val="0072560B"/>
    <w:rsid w:val="007256A9"/>
    <w:rsid w:val="00725914"/>
    <w:rsid w:val="007259DC"/>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C77"/>
    <w:rsid w:val="00727E53"/>
    <w:rsid w:val="00727E55"/>
    <w:rsid w:val="00730521"/>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30F7"/>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B7D"/>
    <w:rsid w:val="00784BA4"/>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85C"/>
    <w:rsid w:val="00793AB6"/>
    <w:rsid w:val="00793B2B"/>
    <w:rsid w:val="00793C0D"/>
    <w:rsid w:val="00793C73"/>
    <w:rsid w:val="00793D42"/>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FA6"/>
    <w:rsid w:val="007A1083"/>
    <w:rsid w:val="007A12B7"/>
    <w:rsid w:val="007A12BC"/>
    <w:rsid w:val="007A12D7"/>
    <w:rsid w:val="007A12EF"/>
    <w:rsid w:val="007A131D"/>
    <w:rsid w:val="007A17C8"/>
    <w:rsid w:val="007A17E1"/>
    <w:rsid w:val="007A18F6"/>
    <w:rsid w:val="007A1AF9"/>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5C"/>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A5B"/>
    <w:rsid w:val="007D7AC5"/>
    <w:rsid w:val="007D7AC7"/>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D9"/>
    <w:rsid w:val="007E3188"/>
    <w:rsid w:val="007E32E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A7E"/>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C3"/>
    <w:rsid w:val="00801D91"/>
    <w:rsid w:val="00801D9E"/>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6125"/>
    <w:rsid w:val="008165C6"/>
    <w:rsid w:val="00816613"/>
    <w:rsid w:val="00816A07"/>
    <w:rsid w:val="00816A8D"/>
    <w:rsid w:val="00816C50"/>
    <w:rsid w:val="00817240"/>
    <w:rsid w:val="0081739E"/>
    <w:rsid w:val="008173B1"/>
    <w:rsid w:val="0081744C"/>
    <w:rsid w:val="00817456"/>
    <w:rsid w:val="008174E0"/>
    <w:rsid w:val="008176FA"/>
    <w:rsid w:val="00817856"/>
    <w:rsid w:val="008178EC"/>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37A"/>
    <w:rsid w:val="00865626"/>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FA7"/>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AE3"/>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75C"/>
    <w:rsid w:val="00886888"/>
    <w:rsid w:val="0088688E"/>
    <w:rsid w:val="00886923"/>
    <w:rsid w:val="008869D8"/>
    <w:rsid w:val="00886B85"/>
    <w:rsid w:val="00886C56"/>
    <w:rsid w:val="00886E18"/>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F86"/>
    <w:rsid w:val="00891FCE"/>
    <w:rsid w:val="008923D5"/>
    <w:rsid w:val="0089249D"/>
    <w:rsid w:val="008927A2"/>
    <w:rsid w:val="00892AA8"/>
    <w:rsid w:val="00892FD6"/>
    <w:rsid w:val="008930E0"/>
    <w:rsid w:val="00893502"/>
    <w:rsid w:val="008936D4"/>
    <w:rsid w:val="00893843"/>
    <w:rsid w:val="00893AD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D16"/>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13E"/>
    <w:rsid w:val="008C12B7"/>
    <w:rsid w:val="008C131A"/>
    <w:rsid w:val="008C156F"/>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80"/>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3DA"/>
    <w:rsid w:val="009754EB"/>
    <w:rsid w:val="009756F5"/>
    <w:rsid w:val="00975799"/>
    <w:rsid w:val="00975805"/>
    <w:rsid w:val="00975AFE"/>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C15"/>
    <w:rsid w:val="00A44D8C"/>
    <w:rsid w:val="00A450E9"/>
    <w:rsid w:val="00A4557F"/>
    <w:rsid w:val="00A45C06"/>
    <w:rsid w:val="00A45D05"/>
    <w:rsid w:val="00A45E5B"/>
    <w:rsid w:val="00A45EFD"/>
    <w:rsid w:val="00A460CF"/>
    <w:rsid w:val="00A460F1"/>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CD1"/>
    <w:rsid w:val="00AA1E8C"/>
    <w:rsid w:val="00AA202A"/>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4095"/>
    <w:rsid w:val="00AA40D1"/>
    <w:rsid w:val="00AA424C"/>
    <w:rsid w:val="00AA43FA"/>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D0F"/>
    <w:rsid w:val="00AC5DEA"/>
    <w:rsid w:val="00AC5E50"/>
    <w:rsid w:val="00AC5EE2"/>
    <w:rsid w:val="00AC5F80"/>
    <w:rsid w:val="00AC5FB8"/>
    <w:rsid w:val="00AC5FD9"/>
    <w:rsid w:val="00AC600D"/>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741"/>
    <w:rsid w:val="00AF193A"/>
    <w:rsid w:val="00AF1966"/>
    <w:rsid w:val="00AF1AA2"/>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324"/>
    <w:rsid w:val="00B3157B"/>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A1E"/>
    <w:rsid w:val="00B53A5C"/>
    <w:rsid w:val="00B53BCF"/>
    <w:rsid w:val="00B53F73"/>
    <w:rsid w:val="00B53F92"/>
    <w:rsid w:val="00B5414A"/>
    <w:rsid w:val="00B5414B"/>
    <w:rsid w:val="00B5426A"/>
    <w:rsid w:val="00B544EA"/>
    <w:rsid w:val="00B54536"/>
    <w:rsid w:val="00B547F9"/>
    <w:rsid w:val="00B54863"/>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581"/>
    <w:rsid w:val="00BB18E7"/>
    <w:rsid w:val="00BB1901"/>
    <w:rsid w:val="00BB1C73"/>
    <w:rsid w:val="00BB2278"/>
    <w:rsid w:val="00BB23C3"/>
    <w:rsid w:val="00BB249B"/>
    <w:rsid w:val="00BB24B9"/>
    <w:rsid w:val="00BB2598"/>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B7EF7"/>
    <w:rsid w:val="00BC0564"/>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B6"/>
    <w:rsid w:val="00BC73D8"/>
    <w:rsid w:val="00BC7429"/>
    <w:rsid w:val="00BC74A1"/>
    <w:rsid w:val="00BC7797"/>
    <w:rsid w:val="00BC7989"/>
    <w:rsid w:val="00BC7B62"/>
    <w:rsid w:val="00BC7EAB"/>
    <w:rsid w:val="00BC7F63"/>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FD"/>
    <w:rsid w:val="00BF3067"/>
    <w:rsid w:val="00BF3283"/>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B3"/>
    <w:rsid w:val="00BF6E12"/>
    <w:rsid w:val="00BF6F42"/>
    <w:rsid w:val="00BF7131"/>
    <w:rsid w:val="00BF73A5"/>
    <w:rsid w:val="00BF74AE"/>
    <w:rsid w:val="00BF77B7"/>
    <w:rsid w:val="00BF790B"/>
    <w:rsid w:val="00BF7935"/>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3D7"/>
    <w:rsid w:val="00C0380D"/>
    <w:rsid w:val="00C03985"/>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CF"/>
    <w:rsid w:val="00C12804"/>
    <w:rsid w:val="00C1367E"/>
    <w:rsid w:val="00C13840"/>
    <w:rsid w:val="00C13C5D"/>
    <w:rsid w:val="00C13D50"/>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75A"/>
    <w:rsid w:val="00C52798"/>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145"/>
    <w:rsid w:val="00C622FD"/>
    <w:rsid w:val="00C6261D"/>
    <w:rsid w:val="00C627D5"/>
    <w:rsid w:val="00C62A4B"/>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E07"/>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4049"/>
    <w:rsid w:val="00D1410C"/>
    <w:rsid w:val="00D14159"/>
    <w:rsid w:val="00D143C9"/>
    <w:rsid w:val="00D14747"/>
    <w:rsid w:val="00D147DF"/>
    <w:rsid w:val="00D14985"/>
    <w:rsid w:val="00D14A2B"/>
    <w:rsid w:val="00D14DF9"/>
    <w:rsid w:val="00D14F97"/>
    <w:rsid w:val="00D14F9E"/>
    <w:rsid w:val="00D15189"/>
    <w:rsid w:val="00D15718"/>
    <w:rsid w:val="00D15762"/>
    <w:rsid w:val="00D15840"/>
    <w:rsid w:val="00D15AEA"/>
    <w:rsid w:val="00D15B43"/>
    <w:rsid w:val="00D15BE7"/>
    <w:rsid w:val="00D15C96"/>
    <w:rsid w:val="00D15D65"/>
    <w:rsid w:val="00D15E8E"/>
    <w:rsid w:val="00D15EBA"/>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E9"/>
    <w:rsid w:val="00D26013"/>
    <w:rsid w:val="00D26079"/>
    <w:rsid w:val="00D260AB"/>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0F58"/>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9C2"/>
    <w:rsid w:val="00D50CB7"/>
    <w:rsid w:val="00D50E7B"/>
    <w:rsid w:val="00D50F47"/>
    <w:rsid w:val="00D50F56"/>
    <w:rsid w:val="00D510B1"/>
    <w:rsid w:val="00D5123F"/>
    <w:rsid w:val="00D5129B"/>
    <w:rsid w:val="00D51307"/>
    <w:rsid w:val="00D51489"/>
    <w:rsid w:val="00D5172C"/>
    <w:rsid w:val="00D51741"/>
    <w:rsid w:val="00D5196E"/>
    <w:rsid w:val="00D51ACF"/>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8D"/>
    <w:rsid w:val="00DE56ED"/>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8F"/>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5DF"/>
    <w:rsid w:val="00E7360D"/>
    <w:rsid w:val="00E73616"/>
    <w:rsid w:val="00E736AB"/>
    <w:rsid w:val="00E736D7"/>
    <w:rsid w:val="00E7386D"/>
    <w:rsid w:val="00E73C1C"/>
    <w:rsid w:val="00E73E45"/>
    <w:rsid w:val="00E7408E"/>
    <w:rsid w:val="00E740EF"/>
    <w:rsid w:val="00E74144"/>
    <w:rsid w:val="00E7430B"/>
    <w:rsid w:val="00E74596"/>
    <w:rsid w:val="00E745B6"/>
    <w:rsid w:val="00E74631"/>
    <w:rsid w:val="00E7465E"/>
    <w:rsid w:val="00E7486E"/>
    <w:rsid w:val="00E74C47"/>
    <w:rsid w:val="00E74E9A"/>
    <w:rsid w:val="00E74ED7"/>
    <w:rsid w:val="00E751FE"/>
    <w:rsid w:val="00E7533B"/>
    <w:rsid w:val="00E75530"/>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409A"/>
    <w:rsid w:val="00EC41C6"/>
    <w:rsid w:val="00EC443C"/>
    <w:rsid w:val="00EC471B"/>
    <w:rsid w:val="00EC4AD8"/>
    <w:rsid w:val="00EC4E08"/>
    <w:rsid w:val="00EC4F43"/>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66"/>
    <w:rsid w:val="00F023F9"/>
    <w:rsid w:val="00F026BC"/>
    <w:rsid w:val="00F02A09"/>
    <w:rsid w:val="00F02CBA"/>
    <w:rsid w:val="00F031EB"/>
    <w:rsid w:val="00F032D4"/>
    <w:rsid w:val="00F0335D"/>
    <w:rsid w:val="00F037D1"/>
    <w:rsid w:val="00F038A7"/>
    <w:rsid w:val="00F0393D"/>
    <w:rsid w:val="00F039B6"/>
    <w:rsid w:val="00F03A22"/>
    <w:rsid w:val="00F03B2A"/>
    <w:rsid w:val="00F03BC7"/>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3072"/>
    <w:rsid w:val="00F73569"/>
    <w:rsid w:val="00F73885"/>
    <w:rsid w:val="00F73BA3"/>
    <w:rsid w:val="00F73BF9"/>
    <w:rsid w:val="00F73F87"/>
    <w:rsid w:val="00F74035"/>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5B7"/>
    <w:rsid w:val="00FC3755"/>
    <w:rsid w:val="00FC3D78"/>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428"/>
    <w:rsid w:val="00FF1883"/>
    <w:rsid w:val="00FF19AF"/>
    <w:rsid w:val="00FF1A1F"/>
    <w:rsid w:val="00FF1F03"/>
    <w:rsid w:val="00FF207A"/>
    <w:rsid w:val="00FF211E"/>
    <w:rsid w:val="00FF2240"/>
    <w:rsid w:val="00FF2368"/>
    <w:rsid w:val="00FF24F9"/>
    <w:rsid w:val="00FF2554"/>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89D"/>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style="mso-position-horizontal-relative:margin" o:allowoverlap="f" fill="f" fillcolor="white" stroke="f">
      <v:fill color="white" on="f"/>
      <v:stroke on="f"/>
      <o:colormenu v:ext="edit" strokecolor="none [3213]"/>
    </o:shapedefaults>
    <o:shapelayout v:ext="edit">
      <o:idmap v:ext="edit" data="1,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3_&#1084;&#1072;&#1088;&#1090;\&#1050;&#1054;\&#1075;&#1088;&#1072;&#1092;&#1080;&#1082;\&#1043;&#1088;&#1072;&#1092;&#1080;&#1082;&#1080;&#1044;&#1042;&#1060;&#1054;_02%20(&#1042;&#1052;&#105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1050;&#1054;\&#1043;&#1088;&#1072;&#1092;&#1080;&#1082;&#1080;&#1044;&#1042;&#1060;&#1054;_01%20(&#1042;&#1052;&#105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4_&#1072;&#1087;&#1088;&#1077;&#1083;&#1100;\&#1050;&#1054;\&#1075;&#1088;&#1072;&#1092;&#1080;&#1082;\&#1043;&#1088;&#1072;&#1092;&#1080;&#1082;&#1080;&#1044;&#1042;&#1060;&#1054;_04%20(&#1042;&#1052;&#105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14-301-2-10\E\&#1050;&#1086;&#1084;&#1087;&#1083;&#1044;&#1086;&#1082;\2020%20&#1075;&#1086;&#1076;\05_&#1084;&#1072;&#1081;\&#1050;&#1054;\&#1043;&#1088;&#1072;&#1092;&#1080;&#1082;\&#1043;&#1088;&#1072;&#1092;&#1080;&#1082;&#1080;&#1044;&#1042;&#1060;&#1054;_05%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янв-апр</c:v>
                </c:pt>
              </c:strCache>
            </c:strRef>
          </c:tx>
          <c:spPr>
            <a:solidFill>
              <a:schemeClr val="tx2">
                <a:lumMod val="40000"/>
                <a:lumOff val="60000"/>
              </a:schemeClr>
            </a:solidFill>
            <a:ln>
              <a:noFill/>
            </a:ln>
          </c:spPr>
          <c:dPt>
            <c:idx val="1"/>
            <c:spPr>
              <a:solidFill>
                <a:schemeClr val="tx2">
                  <a:lumMod val="75000"/>
                </a:schemeClr>
              </a:solidFill>
              <a:ln>
                <a:noFill/>
              </a:ln>
            </c:spPr>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0.00</c:formatCode>
                <c:ptCount val="11"/>
                <c:pt idx="0">
                  <c:v>120729.95</c:v>
                </c:pt>
                <c:pt idx="1">
                  <c:v>414925.8</c:v>
                </c:pt>
                <c:pt idx="2">
                  <c:v>166097</c:v>
                </c:pt>
                <c:pt idx="3">
                  <c:v>118523.6</c:v>
                </c:pt>
                <c:pt idx="4">
                  <c:v>688005.6</c:v>
                </c:pt>
                <c:pt idx="5">
                  <c:v>566883.30000000005</c:v>
                </c:pt>
                <c:pt idx="6">
                  <c:v>161785.4</c:v>
                </c:pt>
                <c:pt idx="7">
                  <c:v>102278.6</c:v>
                </c:pt>
                <c:pt idx="8">
                  <c:v>467234</c:v>
                </c:pt>
                <c:pt idx="9">
                  <c:v>25521.200000000001</c:v>
                </c:pt>
                <c:pt idx="10">
                  <c:v>39912.699999999997</c:v>
                </c:pt>
              </c:numCache>
            </c:numRef>
          </c:val>
        </c:ser>
        <c:gapWidth val="10"/>
        <c:axId val="78408704"/>
        <c:axId val="78418688"/>
      </c:barChart>
      <c:catAx>
        <c:axId val="78408704"/>
        <c:scaling>
          <c:orientation val="minMax"/>
        </c:scaling>
        <c:delete val="1"/>
        <c:axPos val="b"/>
        <c:tickLblPos val="none"/>
        <c:crossAx val="78418688"/>
        <c:crosses val="autoZero"/>
        <c:auto val="1"/>
        <c:lblAlgn val="ctr"/>
        <c:lblOffset val="100"/>
      </c:catAx>
      <c:valAx>
        <c:axId val="78418688"/>
        <c:scaling>
          <c:orientation val="minMax"/>
          <c:max val="720000"/>
          <c:min val="0"/>
        </c:scaling>
        <c:delete val="1"/>
        <c:axPos val="l"/>
        <c:numFmt formatCode="0.00" sourceLinked="1"/>
        <c:tickLblPos val="none"/>
        <c:crossAx val="78408704"/>
        <c:crosses val="autoZero"/>
        <c:crossBetween val="between"/>
        <c:minorUnit val="300000"/>
      </c:valAx>
      <c:spPr>
        <a:noFill/>
        <a:ln w="25400">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0.00</c:formatCode>
                <c:ptCount val="11"/>
                <c:pt idx="0">
                  <c:v>27093</c:v>
                </c:pt>
                <c:pt idx="1">
                  <c:v>31850</c:v>
                </c:pt>
                <c:pt idx="2">
                  <c:v>13625</c:v>
                </c:pt>
                <c:pt idx="3">
                  <c:v>18618</c:v>
                </c:pt>
                <c:pt idx="4">
                  <c:v>45889</c:v>
                </c:pt>
                <c:pt idx="5">
                  <c:v>23148</c:v>
                </c:pt>
                <c:pt idx="6">
                  <c:v>0</c:v>
                </c:pt>
                <c:pt idx="7">
                  <c:v>888</c:v>
                </c:pt>
                <c:pt idx="8">
                  <c:v>247</c:v>
                </c:pt>
                <c:pt idx="9">
                  <c:v>7126</c:v>
                </c:pt>
                <c:pt idx="10">
                  <c:v>0</c:v>
                </c:pt>
              </c:numCache>
            </c:numRef>
          </c:val>
        </c:ser>
        <c:gapWidth val="10"/>
        <c:axId val="81844480"/>
        <c:axId val="82247680"/>
      </c:barChart>
      <c:catAx>
        <c:axId val="81844480"/>
        <c:scaling>
          <c:orientation val="minMax"/>
        </c:scaling>
        <c:delete val="1"/>
        <c:axPos val="b"/>
        <c:tickLblPos val="none"/>
        <c:crossAx val="82247680"/>
        <c:crosses val="autoZero"/>
        <c:auto val="1"/>
        <c:lblAlgn val="ctr"/>
        <c:lblOffset val="100"/>
      </c:catAx>
      <c:valAx>
        <c:axId val="82247680"/>
        <c:scaling>
          <c:logBase val="5"/>
          <c:orientation val="minMax"/>
          <c:max val="70000"/>
          <c:min val="10"/>
        </c:scaling>
        <c:delete val="1"/>
        <c:axPos val="l"/>
        <c:numFmt formatCode="0.00" sourceLinked="1"/>
        <c:tickLblPos val="none"/>
        <c:crossAx val="81844480"/>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9.9</c:v>
                </c:pt>
                <c:pt idx="1">
                  <c:v>7</c:v>
                </c:pt>
                <c:pt idx="2">
                  <c:v>9.3000000000000007</c:v>
                </c:pt>
                <c:pt idx="3">
                  <c:v>3.6</c:v>
                </c:pt>
                <c:pt idx="4">
                  <c:v>5.4</c:v>
                </c:pt>
                <c:pt idx="5">
                  <c:v>3</c:v>
                </c:pt>
                <c:pt idx="6">
                  <c:v>5.0999999999999996</c:v>
                </c:pt>
                <c:pt idx="7">
                  <c:v>5.2</c:v>
                </c:pt>
                <c:pt idx="8">
                  <c:v>5.3</c:v>
                </c:pt>
                <c:pt idx="9">
                  <c:v>6.9</c:v>
                </c:pt>
                <c:pt idx="10">
                  <c:v>5.2</c:v>
                </c:pt>
              </c:numCache>
            </c:numRef>
          </c:val>
        </c:ser>
        <c:gapWidth val="10"/>
        <c:axId val="82283520"/>
        <c:axId val="82289408"/>
      </c:barChart>
      <c:catAx>
        <c:axId val="82283520"/>
        <c:scaling>
          <c:orientation val="minMax"/>
        </c:scaling>
        <c:delete val="1"/>
        <c:axPos val="b"/>
        <c:tickLblPos val="none"/>
        <c:crossAx val="82289408"/>
        <c:crosses val="autoZero"/>
        <c:auto val="1"/>
        <c:lblAlgn val="ctr"/>
        <c:lblOffset val="100"/>
      </c:catAx>
      <c:valAx>
        <c:axId val="82289408"/>
        <c:scaling>
          <c:orientation val="minMax"/>
          <c:max val="12"/>
          <c:min val="0"/>
        </c:scaling>
        <c:axPos val="l"/>
        <c:numFmt formatCode="General" sourceLinked="1"/>
        <c:tickLblPos val="none"/>
        <c:crossAx val="82283520"/>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107.7</c:v>
                </c:pt>
                <c:pt idx="1">
                  <c:v>92.6</c:v>
                </c:pt>
                <c:pt idx="2">
                  <c:v>101.1</c:v>
                </c:pt>
                <c:pt idx="3">
                  <c:v>111.7</c:v>
                </c:pt>
                <c:pt idx="4">
                  <c:v>98.6</c:v>
                </c:pt>
                <c:pt idx="5">
                  <c:v>104.6</c:v>
                </c:pt>
                <c:pt idx="6">
                  <c:v>102.7</c:v>
                </c:pt>
                <c:pt idx="7">
                  <c:v>103.6</c:v>
                </c:pt>
                <c:pt idx="8">
                  <c:v>101.7</c:v>
                </c:pt>
                <c:pt idx="9">
                  <c:v>107.2</c:v>
                </c:pt>
                <c:pt idx="10">
                  <c:v>103.9</c:v>
                </c:pt>
              </c:numCache>
            </c:numRef>
          </c:val>
        </c:ser>
        <c:gapWidth val="10"/>
        <c:overlap val="100"/>
        <c:axId val="82310272"/>
        <c:axId val="82311808"/>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2310272"/>
        <c:axId val="82311808"/>
      </c:lineChart>
      <c:catAx>
        <c:axId val="82310272"/>
        <c:scaling>
          <c:orientation val="minMax"/>
        </c:scaling>
        <c:delete val="1"/>
        <c:axPos val="b"/>
        <c:tickLblPos val="none"/>
        <c:crossAx val="82311808"/>
        <c:crosses val="autoZero"/>
        <c:auto val="1"/>
        <c:lblAlgn val="ctr"/>
        <c:lblOffset val="100"/>
      </c:catAx>
      <c:valAx>
        <c:axId val="82311808"/>
        <c:scaling>
          <c:orientation val="minMax"/>
          <c:max val="130"/>
          <c:min val="0"/>
        </c:scaling>
        <c:delete val="1"/>
        <c:axPos val="l"/>
        <c:numFmt formatCode="0.00" sourceLinked="1"/>
        <c:tickLblPos val="none"/>
        <c:crossAx val="82310272"/>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102.4</c:v>
                </c:pt>
                <c:pt idx="1">
                  <c:v>104.8</c:v>
                </c:pt>
                <c:pt idx="2">
                  <c:v>98.8</c:v>
                </c:pt>
                <c:pt idx="3">
                  <c:v>107.8</c:v>
                </c:pt>
                <c:pt idx="4">
                  <c:v>100.4</c:v>
                </c:pt>
                <c:pt idx="5">
                  <c:v>99.1</c:v>
                </c:pt>
                <c:pt idx="6">
                  <c:v>97.3</c:v>
                </c:pt>
                <c:pt idx="7">
                  <c:v>105.4</c:v>
                </c:pt>
                <c:pt idx="8">
                  <c:v>109.6</c:v>
                </c:pt>
                <c:pt idx="9">
                  <c:v>87.2</c:v>
                </c:pt>
                <c:pt idx="10">
                  <c:v>103.1</c:v>
                </c:pt>
              </c:numCache>
            </c:numRef>
          </c:val>
        </c:ser>
        <c:gapWidth val="10"/>
        <c:overlap val="100"/>
        <c:axId val="87182336"/>
        <c:axId val="8718412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7182336"/>
        <c:axId val="87184128"/>
      </c:lineChart>
      <c:catAx>
        <c:axId val="87182336"/>
        <c:scaling>
          <c:orientation val="minMax"/>
        </c:scaling>
        <c:delete val="1"/>
        <c:axPos val="b"/>
        <c:tickLblPos val="none"/>
        <c:crossAx val="87184128"/>
        <c:crosses val="autoZero"/>
        <c:auto val="1"/>
        <c:lblAlgn val="ctr"/>
        <c:lblOffset val="100"/>
      </c:catAx>
      <c:valAx>
        <c:axId val="87184128"/>
        <c:scaling>
          <c:orientation val="minMax"/>
          <c:max val="130"/>
          <c:min val="0"/>
        </c:scaling>
        <c:delete val="1"/>
        <c:axPos val="l"/>
        <c:numFmt formatCode="0.00" sourceLinked="1"/>
        <c:tickLblPos val="none"/>
        <c:crossAx val="87182336"/>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c:formatCode>
                <c:ptCount val="11"/>
                <c:pt idx="0">
                  <c:v>106.3</c:v>
                </c:pt>
                <c:pt idx="1">
                  <c:v>56.6</c:v>
                </c:pt>
                <c:pt idx="2">
                  <c:v>131.5</c:v>
                </c:pt>
                <c:pt idx="3">
                  <c:v>101.1</c:v>
                </c:pt>
                <c:pt idx="4">
                  <c:v>121.4</c:v>
                </c:pt>
                <c:pt idx="5">
                  <c:v>122.8</c:v>
                </c:pt>
                <c:pt idx="6">
                  <c:v>89.2</c:v>
                </c:pt>
                <c:pt idx="7">
                  <c:v>83.9</c:v>
                </c:pt>
                <c:pt idx="8">
                  <c:v>109.4</c:v>
                </c:pt>
                <c:pt idx="9">
                  <c:v>51.7</c:v>
                </c:pt>
                <c:pt idx="10">
                  <c:v>168</c:v>
                </c:pt>
              </c:numCache>
            </c:numRef>
          </c:val>
        </c:ser>
        <c:gapWidth val="10"/>
        <c:overlap val="100"/>
        <c:axId val="87217280"/>
        <c:axId val="87218816"/>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7217280"/>
        <c:axId val="87218816"/>
      </c:lineChart>
      <c:catAx>
        <c:axId val="87217280"/>
        <c:scaling>
          <c:orientation val="minMax"/>
        </c:scaling>
        <c:delete val="1"/>
        <c:axPos val="b"/>
        <c:tickLblPos val="none"/>
        <c:crossAx val="87218816"/>
        <c:crosses val="autoZero"/>
        <c:auto val="1"/>
        <c:lblAlgn val="ctr"/>
        <c:lblOffset val="100"/>
      </c:catAx>
      <c:valAx>
        <c:axId val="87218816"/>
        <c:scaling>
          <c:orientation val="minMax"/>
          <c:max val="150"/>
          <c:min val="0"/>
        </c:scaling>
        <c:delete val="1"/>
        <c:axPos val="l"/>
        <c:numFmt formatCode="0.0" sourceLinked="1"/>
        <c:tickLblPos val="none"/>
        <c:crossAx val="87217280"/>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57.3</c:v>
                </c:pt>
                <c:pt idx="1">
                  <c:v>56</c:v>
                </c:pt>
                <c:pt idx="2">
                  <c:v>182.3</c:v>
                </c:pt>
                <c:pt idx="3">
                  <c:v>135.30000000000001</c:v>
                </c:pt>
                <c:pt idx="4">
                  <c:v>117.6</c:v>
                </c:pt>
                <c:pt idx="5">
                  <c:v>131</c:v>
                </c:pt>
                <c:pt idx="6">
                  <c:v>58.5</c:v>
                </c:pt>
                <c:pt idx="7">
                  <c:v>132.6</c:v>
                </c:pt>
                <c:pt idx="8">
                  <c:v>108.2</c:v>
                </c:pt>
                <c:pt idx="9">
                  <c:v>71.2</c:v>
                </c:pt>
                <c:pt idx="10">
                  <c:v>70.400000000000006</c:v>
                </c:pt>
              </c:numCache>
            </c:numRef>
          </c:val>
        </c:ser>
        <c:gapWidth val="10"/>
        <c:overlap val="100"/>
        <c:axId val="87231488"/>
        <c:axId val="87257856"/>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7231488"/>
        <c:axId val="87257856"/>
      </c:lineChart>
      <c:catAx>
        <c:axId val="87231488"/>
        <c:scaling>
          <c:orientation val="minMax"/>
        </c:scaling>
        <c:delete val="1"/>
        <c:axPos val="b"/>
        <c:tickLblPos val="none"/>
        <c:crossAx val="87257856"/>
        <c:crosses val="autoZero"/>
        <c:auto val="1"/>
        <c:lblAlgn val="ctr"/>
        <c:lblOffset val="100"/>
      </c:catAx>
      <c:valAx>
        <c:axId val="87257856"/>
        <c:scaling>
          <c:orientation val="minMax"/>
          <c:max val="200"/>
          <c:min val="0"/>
        </c:scaling>
        <c:delete val="1"/>
        <c:axPos val="l"/>
        <c:numFmt formatCode="0.00" sourceLinked="1"/>
        <c:tickLblPos val="none"/>
        <c:crossAx val="87231488"/>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strCache>
            </c:strRef>
          </c:tx>
          <c:spPr>
            <a:solidFill>
              <a:schemeClr val="tx2">
                <a:lumMod val="40000"/>
                <a:lumOff val="60000"/>
              </a:schemeClr>
            </a:solidFill>
          </c:spPr>
          <c:dPt>
            <c:idx val="1"/>
            <c:spPr>
              <a:solidFill>
                <a:schemeClr val="tx2"/>
              </a:solidFill>
            </c:spPr>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93.1</c:v>
                </c:pt>
                <c:pt idx="1">
                  <c:v>96.7</c:v>
                </c:pt>
                <c:pt idx="2">
                  <c:v>125.4</c:v>
                </c:pt>
                <c:pt idx="3">
                  <c:v>204.9</c:v>
                </c:pt>
                <c:pt idx="4">
                  <c:v>112.5</c:v>
                </c:pt>
                <c:pt idx="5">
                  <c:v>43.1</c:v>
                </c:pt>
                <c:pt idx="6">
                  <c:v>163</c:v>
                </c:pt>
                <c:pt idx="7">
                  <c:v>567.5</c:v>
                </c:pt>
                <c:pt idx="8">
                  <c:v>84.2</c:v>
                </c:pt>
                <c:pt idx="9">
                  <c:v>34.9</c:v>
                </c:pt>
                <c:pt idx="10">
                  <c:v>0</c:v>
                </c:pt>
              </c:numCache>
            </c:numRef>
          </c:val>
        </c:ser>
        <c:gapWidth val="10"/>
        <c:overlap val="100"/>
        <c:axId val="87290624"/>
        <c:axId val="87292160"/>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7290624"/>
        <c:axId val="87292160"/>
      </c:lineChart>
      <c:catAx>
        <c:axId val="87290624"/>
        <c:scaling>
          <c:orientation val="minMax"/>
        </c:scaling>
        <c:delete val="1"/>
        <c:axPos val="b"/>
        <c:tickLblPos val="none"/>
        <c:crossAx val="87292160"/>
        <c:crosses val="autoZero"/>
        <c:auto val="1"/>
        <c:lblAlgn val="ctr"/>
        <c:lblOffset val="100"/>
      </c:catAx>
      <c:valAx>
        <c:axId val="87292160"/>
        <c:scaling>
          <c:orientation val="minMax"/>
          <c:max val="650"/>
          <c:min val="0"/>
        </c:scaling>
        <c:delete val="1"/>
        <c:axPos val="l"/>
        <c:numFmt formatCode="0.00" sourceLinked="1"/>
        <c:tickLblPos val="none"/>
        <c:crossAx val="8729062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97.5</c:v>
                </c:pt>
                <c:pt idx="1">
                  <c:v>94.2</c:v>
                </c:pt>
                <c:pt idx="2">
                  <c:v>97.1</c:v>
                </c:pt>
                <c:pt idx="3">
                  <c:v>96.7</c:v>
                </c:pt>
                <c:pt idx="4">
                  <c:v>94.7</c:v>
                </c:pt>
                <c:pt idx="5">
                  <c:v>97.2</c:v>
                </c:pt>
                <c:pt idx="6">
                  <c:v>99.5</c:v>
                </c:pt>
                <c:pt idx="7">
                  <c:v>96.6</c:v>
                </c:pt>
                <c:pt idx="8">
                  <c:v>100.8</c:v>
                </c:pt>
                <c:pt idx="9">
                  <c:v>94.3</c:v>
                </c:pt>
                <c:pt idx="10">
                  <c:v>101.3</c:v>
                </c:pt>
              </c:numCache>
            </c:numRef>
          </c:val>
        </c:ser>
        <c:gapWidth val="10"/>
        <c:overlap val="100"/>
        <c:axId val="88222336"/>
        <c:axId val="88240512"/>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222336"/>
        <c:axId val="88240512"/>
      </c:lineChart>
      <c:catAx>
        <c:axId val="88222336"/>
        <c:scaling>
          <c:orientation val="minMax"/>
        </c:scaling>
        <c:delete val="1"/>
        <c:axPos val="b"/>
        <c:tickLblPos val="none"/>
        <c:crossAx val="88240512"/>
        <c:crosses val="autoZero"/>
        <c:auto val="1"/>
        <c:lblAlgn val="ctr"/>
        <c:lblOffset val="100"/>
      </c:catAx>
      <c:valAx>
        <c:axId val="88240512"/>
        <c:scaling>
          <c:orientation val="minMax"/>
          <c:max val="110"/>
        </c:scaling>
        <c:delete val="1"/>
        <c:axPos val="l"/>
        <c:numFmt formatCode="0.00" sourceLinked="1"/>
        <c:tickLblPos val="none"/>
        <c:crossAx val="88222336"/>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98.9</c:v>
                </c:pt>
                <c:pt idx="1">
                  <c:v>98</c:v>
                </c:pt>
                <c:pt idx="2">
                  <c:v>86.2</c:v>
                </c:pt>
                <c:pt idx="3">
                  <c:v>96.4</c:v>
                </c:pt>
                <c:pt idx="4">
                  <c:v>87.6</c:v>
                </c:pt>
                <c:pt idx="5">
                  <c:v>87.6</c:v>
                </c:pt>
                <c:pt idx="6">
                  <c:v>95.3</c:v>
                </c:pt>
                <c:pt idx="7">
                  <c:v>92.3</c:v>
                </c:pt>
                <c:pt idx="8">
                  <c:v>108.5</c:v>
                </c:pt>
                <c:pt idx="9">
                  <c:v>82</c:v>
                </c:pt>
                <c:pt idx="10">
                  <c:v>152.69999999999999</c:v>
                </c:pt>
              </c:numCache>
            </c:numRef>
          </c:val>
        </c:ser>
        <c:gapWidth val="10"/>
        <c:overlap val="100"/>
        <c:axId val="88265472"/>
        <c:axId val="88267008"/>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265472"/>
        <c:axId val="88267008"/>
      </c:lineChart>
      <c:catAx>
        <c:axId val="88265472"/>
        <c:scaling>
          <c:orientation val="minMax"/>
        </c:scaling>
        <c:delete val="1"/>
        <c:axPos val="b"/>
        <c:tickLblPos val="none"/>
        <c:crossAx val="88267008"/>
        <c:crosses val="autoZero"/>
        <c:auto val="1"/>
        <c:lblAlgn val="ctr"/>
        <c:lblOffset val="100"/>
      </c:catAx>
      <c:valAx>
        <c:axId val="88267008"/>
        <c:scaling>
          <c:orientation val="minMax"/>
          <c:max val="160"/>
          <c:min val="0"/>
        </c:scaling>
        <c:delete val="1"/>
        <c:axPos val="l"/>
        <c:numFmt formatCode="0.00" sourceLinked="1"/>
        <c:tickLblPos val="none"/>
        <c:crossAx val="8826547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87.8</c:v>
                </c:pt>
                <c:pt idx="1">
                  <c:v>82.9</c:v>
                </c:pt>
                <c:pt idx="2">
                  <c:v>92.3</c:v>
                </c:pt>
                <c:pt idx="3">
                  <c:v>95.5</c:v>
                </c:pt>
                <c:pt idx="4">
                  <c:v>86.3</c:v>
                </c:pt>
                <c:pt idx="5">
                  <c:v>88.3</c:v>
                </c:pt>
                <c:pt idx="6">
                  <c:v>97.3</c:v>
                </c:pt>
                <c:pt idx="7">
                  <c:v>97.2</c:v>
                </c:pt>
                <c:pt idx="8">
                  <c:v>86.2</c:v>
                </c:pt>
                <c:pt idx="9">
                  <c:v>88.6</c:v>
                </c:pt>
                <c:pt idx="10">
                  <c:v>90.1</c:v>
                </c:pt>
              </c:numCache>
            </c:numRef>
          </c:val>
        </c:ser>
        <c:gapWidth val="10"/>
        <c:overlap val="100"/>
        <c:axId val="88292352"/>
        <c:axId val="88294144"/>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292352"/>
        <c:axId val="88294144"/>
      </c:lineChart>
      <c:catAx>
        <c:axId val="88292352"/>
        <c:scaling>
          <c:orientation val="minMax"/>
        </c:scaling>
        <c:delete val="1"/>
        <c:axPos val="b"/>
        <c:tickLblPos val="none"/>
        <c:crossAx val="88294144"/>
        <c:crosses val="autoZero"/>
        <c:auto val="1"/>
        <c:lblAlgn val="ctr"/>
        <c:lblOffset val="100"/>
      </c:catAx>
      <c:valAx>
        <c:axId val="88294144"/>
        <c:scaling>
          <c:orientation val="minMax"/>
          <c:max val="110"/>
          <c:min val="80"/>
        </c:scaling>
        <c:delete val="1"/>
        <c:axPos val="l"/>
        <c:numFmt formatCode="0.00" sourceLinked="1"/>
        <c:tickLblPos val="none"/>
        <c:crossAx val="88292352"/>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янв-декаб</c:v>
                </c:pt>
              </c:strCache>
            </c:strRef>
          </c:tx>
          <c:spPr>
            <a:solidFill>
              <a:schemeClr val="tx2">
                <a:lumMod val="40000"/>
                <a:lumOff val="60000"/>
              </a:schemeClr>
            </a:solidFill>
          </c:spPr>
          <c:dPt>
            <c:idx val="1"/>
            <c:spPr>
              <a:solidFill>
                <a:schemeClr val="tx2"/>
              </a:solidFill>
            </c:spPr>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16682.5</c:v>
                </c:pt>
                <c:pt idx="1">
                  <c:v>26080.5</c:v>
                </c:pt>
                <c:pt idx="2">
                  <c:v>21701.7</c:v>
                </c:pt>
                <c:pt idx="3">
                  <c:v>9992.7000000000007</c:v>
                </c:pt>
                <c:pt idx="4">
                  <c:v>38143.300000000003</c:v>
                </c:pt>
                <c:pt idx="5">
                  <c:v>15594.5</c:v>
                </c:pt>
                <c:pt idx="6">
                  <c:v>50722.1</c:v>
                </c:pt>
                <c:pt idx="7">
                  <c:v>2743.8</c:v>
                </c:pt>
                <c:pt idx="8">
                  <c:v>11484.2</c:v>
                </c:pt>
                <c:pt idx="9">
                  <c:v>3574.8</c:v>
                </c:pt>
                <c:pt idx="10">
                  <c:v>1544.9</c:v>
                </c:pt>
              </c:numCache>
            </c:numRef>
          </c:val>
        </c:ser>
        <c:gapWidth val="10"/>
        <c:axId val="78438400"/>
        <c:axId val="78439936"/>
      </c:barChart>
      <c:catAx>
        <c:axId val="78438400"/>
        <c:scaling>
          <c:orientation val="minMax"/>
        </c:scaling>
        <c:delete val="1"/>
        <c:axPos val="b"/>
        <c:tickLblPos val="none"/>
        <c:crossAx val="78439936"/>
        <c:crosses val="autoZero"/>
        <c:auto val="1"/>
        <c:lblAlgn val="ctr"/>
        <c:lblOffset val="100"/>
      </c:catAx>
      <c:valAx>
        <c:axId val="78439936"/>
        <c:scaling>
          <c:orientation val="minMax"/>
          <c:max val="55000"/>
          <c:min val="0"/>
        </c:scaling>
        <c:delete val="1"/>
        <c:axPos val="l"/>
        <c:numFmt formatCode="0.00" sourceLinked="1"/>
        <c:tickLblPos val="none"/>
        <c:crossAx val="78438400"/>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93.8</c:v>
                </c:pt>
                <c:pt idx="1">
                  <c:v>101.8</c:v>
                </c:pt>
                <c:pt idx="2">
                  <c:v>92.5</c:v>
                </c:pt>
                <c:pt idx="3">
                  <c:v>105.8</c:v>
                </c:pt>
                <c:pt idx="4">
                  <c:v>98.8</c:v>
                </c:pt>
                <c:pt idx="5">
                  <c:v>88</c:v>
                </c:pt>
                <c:pt idx="6">
                  <c:v>94.9</c:v>
                </c:pt>
                <c:pt idx="7">
                  <c:v>113.7</c:v>
                </c:pt>
                <c:pt idx="8">
                  <c:v>110.1</c:v>
                </c:pt>
                <c:pt idx="9">
                  <c:v>95.6</c:v>
                </c:pt>
                <c:pt idx="10">
                  <c:v>244.9</c:v>
                </c:pt>
              </c:numCache>
            </c:numRef>
          </c:val>
        </c:ser>
        <c:gapWidth val="10"/>
        <c:overlap val="100"/>
        <c:axId val="88331392"/>
        <c:axId val="88332928"/>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331392"/>
        <c:axId val="88332928"/>
      </c:lineChart>
      <c:catAx>
        <c:axId val="88331392"/>
        <c:scaling>
          <c:orientation val="minMax"/>
        </c:scaling>
        <c:delete val="1"/>
        <c:axPos val="b"/>
        <c:tickLblPos val="none"/>
        <c:crossAx val="88332928"/>
        <c:crosses val="autoZero"/>
        <c:auto val="1"/>
        <c:lblAlgn val="ctr"/>
        <c:lblOffset val="100"/>
      </c:catAx>
      <c:valAx>
        <c:axId val="88332928"/>
        <c:scaling>
          <c:orientation val="minMax"/>
          <c:max val="400"/>
          <c:min val="0"/>
        </c:scaling>
        <c:delete val="1"/>
        <c:axPos val="l"/>
        <c:numFmt formatCode="0.00" sourceLinked="1"/>
        <c:tickLblPos val="none"/>
        <c:crossAx val="88331392"/>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0.0</c:formatCode>
                <c:ptCount val="11"/>
                <c:pt idx="0">
                  <c:v>103</c:v>
                </c:pt>
                <c:pt idx="1">
                  <c:v>101.1</c:v>
                </c:pt>
                <c:pt idx="2">
                  <c:v>103.16</c:v>
                </c:pt>
                <c:pt idx="3">
                  <c:v>101.48</c:v>
                </c:pt>
                <c:pt idx="4">
                  <c:v>102.11</c:v>
                </c:pt>
                <c:pt idx="5">
                  <c:v>101.99000000000002</c:v>
                </c:pt>
                <c:pt idx="6">
                  <c:v>103.2</c:v>
                </c:pt>
                <c:pt idx="7">
                  <c:v>101.8</c:v>
                </c:pt>
                <c:pt idx="8">
                  <c:v>101.97</c:v>
                </c:pt>
                <c:pt idx="9">
                  <c:v>102.7</c:v>
                </c:pt>
                <c:pt idx="10">
                  <c:v>101.69</c:v>
                </c:pt>
              </c:numCache>
            </c:numRef>
          </c:val>
        </c:ser>
        <c:gapWidth val="10"/>
        <c:overlap val="100"/>
        <c:axId val="88353792"/>
        <c:axId val="88355584"/>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353792"/>
        <c:axId val="88355584"/>
      </c:lineChart>
      <c:catAx>
        <c:axId val="88353792"/>
        <c:scaling>
          <c:orientation val="minMax"/>
        </c:scaling>
        <c:delete val="1"/>
        <c:axPos val="b"/>
        <c:tickLblPos val="none"/>
        <c:crossAx val="88355584"/>
        <c:crosses val="autoZero"/>
        <c:auto val="1"/>
        <c:lblAlgn val="ctr"/>
        <c:lblOffset val="100"/>
      </c:catAx>
      <c:valAx>
        <c:axId val="88355584"/>
        <c:scaling>
          <c:orientation val="minMax"/>
          <c:max val="105"/>
          <c:min val="90"/>
        </c:scaling>
        <c:delete val="1"/>
        <c:axPos val="l"/>
        <c:numFmt formatCode="0.0" sourceLinked="1"/>
        <c:tickLblPos val="none"/>
        <c:crossAx val="88353792"/>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100.3</c:v>
                </c:pt>
                <c:pt idx="1">
                  <c:v>100.4</c:v>
                </c:pt>
                <c:pt idx="2">
                  <c:v>100.6</c:v>
                </c:pt>
                <c:pt idx="3">
                  <c:v>101.5</c:v>
                </c:pt>
                <c:pt idx="4">
                  <c:v>100.7</c:v>
                </c:pt>
                <c:pt idx="5">
                  <c:v>99</c:v>
                </c:pt>
                <c:pt idx="6">
                  <c:v>101.8</c:v>
                </c:pt>
                <c:pt idx="7">
                  <c:v>103.7</c:v>
                </c:pt>
                <c:pt idx="8">
                  <c:v>100</c:v>
                </c:pt>
                <c:pt idx="9">
                  <c:v>98.9</c:v>
                </c:pt>
                <c:pt idx="10">
                  <c:v>103.3</c:v>
                </c:pt>
              </c:numCache>
            </c:numRef>
          </c:val>
        </c:ser>
        <c:gapWidth val="10"/>
        <c:overlap val="100"/>
        <c:axId val="88396928"/>
        <c:axId val="88398464"/>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396928"/>
        <c:axId val="88398464"/>
      </c:lineChart>
      <c:catAx>
        <c:axId val="88396928"/>
        <c:scaling>
          <c:orientation val="minMax"/>
        </c:scaling>
        <c:delete val="1"/>
        <c:axPos val="b"/>
        <c:tickLblPos val="none"/>
        <c:crossAx val="88398464"/>
        <c:crosses val="autoZero"/>
        <c:auto val="1"/>
        <c:lblAlgn val="ctr"/>
        <c:lblOffset val="100"/>
      </c:catAx>
      <c:valAx>
        <c:axId val="88398464"/>
        <c:scaling>
          <c:orientation val="minMax"/>
        </c:scaling>
        <c:delete val="1"/>
        <c:axPos val="l"/>
        <c:numFmt formatCode="General" sourceLinked="1"/>
        <c:tickLblPos val="none"/>
        <c:crossAx val="88396928"/>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реалЗП!$B$4</c:f>
              <c:strCache>
                <c:ptCount val="1"/>
                <c:pt idx="0">
                  <c:v>реальные зп</c:v>
                </c:pt>
              </c:strCache>
            </c:strRef>
          </c:tx>
          <c:spPr>
            <a:solidFill>
              <a:schemeClr val="tx2">
                <a:lumMod val="40000"/>
                <a:lumOff val="60000"/>
              </a:schemeClr>
            </a:solidFill>
          </c:spPr>
          <c:dPt>
            <c:idx val="1"/>
            <c:spPr>
              <a:solidFill>
                <a:schemeClr val="tx2"/>
              </a:solidFill>
            </c:spPr>
          </c:dPt>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реалЗП!$B$5:$B$15</c:f>
              <c:numCache>
                <c:formatCode>0.00</c:formatCode>
                <c:ptCount val="11"/>
                <c:pt idx="0">
                  <c:v>105.8</c:v>
                </c:pt>
                <c:pt idx="1">
                  <c:v>104.1</c:v>
                </c:pt>
                <c:pt idx="2">
                  <c:v>103.1</c:v>
                </c:pt>
                <c:pt idx="3">
                  <c:v>107</c:v>
                </c:pt>
                <c:pt idx="4">
                  <c:v>107.3</c:v>
                </c:pt>
                <c:pt idx="5">
                  <c:v>102.9</c:v>
                </c:pt>
                <c:pt idx="6">
                  <c:v>103.7</c:v>
                </c:pt>
                <c:pt idx="7">
                  <c:v>107.1</c:v>
                </c:pt>
                <c:pt idx="8">
                  <c:v>102.9</c:v>
                </c:pt>
                <c:pt idx="9">
                  <c:v>105.3</c:v>
                </c:pt>
                <c:pt idx="10">
                  <c:v>106.5</c:v>
                </c:pt>
              </c:numCache>
            </c:numRef>
          </c:val>
        </c:ser>
        <c:gapWidth val="10"/>
        <c:overlap val="100"/>
        <c:axId val="88407040"/>
        <c:axId val="96830208"/>
      </c:barChart>
      <c:lineChart>
        <c:grouping val="standard"/>
        <c:ser>
          <c:idx val="1"/>
          <c:order val="1"/>
          <c:tx>
            <c:strRef>
              <c:f>реалЗП!$C$4</c:f>
              <c:strCache>
                <c:ptCount val="1"/>
                <c:pt idx="0">
                  <c:v>100</c:v>
                </c:pt>
              </c:strCache>
            </c:strRef>
          </c:tx>
          <c:spPr>
            <a:ln w="12700">
              <a:solidFill>
                <a:schemeClr val="tx1"/>
              </a:solidFill>
            </a:ln>
          </c:spPr>
          <c:marker>
            <c:symbol val="none"/>
          </c:marker>
          <c:cat>
            <c:strRef>
              <c:f>реалЗП!$A$5:$A$15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er>
        <c:marker val="1"/>
        <c:axId val="88407040"/>
        <c:axId val="96830208"/>
      </c:lineChart>
      <c:catAx>
        <c:axId val="88407040"/>
        <c:scaling>
          <c:orientation val="minMax"/>
        </c:scaling>
        <c:delete val="1"/>
        <c:axPos val="b"/>
        <c:numFmt formatCode="General" sourceLinked="1"/>
        <c:tickLblPos val="none"/>
        <c:crossAx val="96830208"/>
        <c:crosses val="autoZero"/>
        <c:auto val="1"/>
        <c:lblAlgn val="ctr"/>
        <c:lblOffset val="100"/>
      </c:catAx>
      <c:valAx>
        <c:axId val="96830208"/>
        <c:scaling>
          <c:orientation val="minMax"/>
          <c:max val="120"/>
          <c:min val="50"/>
        </c:scaling>
        <c:delete val="1"/>
        <c:axPos val="l"/>
        <c:numFmt formatCode="0.00" sourceLinked="1"/>
        <c:tickLblPos val="none"/>
        <c:crossAx val="88407040"/>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4 квартал</c:v>
                </c:pt>
              </c:strCache>
            </c:strRef>
          </c:tx>
          <c:spPr>
            <a:solidFill>
              <a:schemeClr val="tx2">
                <a:lumMod val="40000"/>
                <a:lumOff val="60000"/>
              </a:schemeClr>
            </a:solidFill>
            <a:ln>
              <a:noFill/>
            </a:ln>
          </c:spPr>
          <c:dPt>
            <c:idx val="1"/>
            <c:spPr>
              <a:solidFill>
                <a:schemeClr val="tx2">
                  <a:lumMod val="75000"/>
                </a:schemeClr>
              </a:solidFill>
              <a:ln>
                <a:noFill/>
              </a:ln>
            </c:spPr>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0.0_ ;\-0.0\ </c:formatCode>
                <c:ptCount val="11"/>
                <c:pt idx="0">
                  <c:v>5911.8686400000024</c:v>
                </c:pt>
                <c:pt idx="1">
                  <c:v>44079.287000000004</c:v>
                </c:pt>
                <c:pt idx="2">
                  <c:v>14005.157999999961</c:v>
                </c:pt>
                <c:pt idx="3">
                  <c:v>4310.1490000000003</c:v>
                </c:pt>
                <c:pt idx="4">
                  <c:v>26714.47</c:v>
                </c:pt>
                <c:pt idx="5">
                  <c:v>26024.243999999999</c:v>
                </c:pt>
                <c:pt idx="6">
                  <c:v>39359.104999999996</c:v>
                </c:pt>
                <c:pt idx="7">
                  <c:v>5605.44</c:v>
                </c:pt>
                <c:pt idx="8">
                  <c:v>43800.260999999999</c:v>
                </c:pt>
                <c:pt idx="9">
                  <c:v>1494.856</c:v>
                </c:pt>
                <c:pt idx="10">
                  <c:v>2921.67</c:v>
                </c:pt>
              </c:numCache>
            </c:numRef>
          </c:val>
        </c:ser>
        <c:gapWidth val="10"/>
        <c:axId val="78467840"/>
        <c:axId val="78469376"/>
      </c:barChart>
      <c:catAx>
        <c:axId val="78467840"/>
        <c:scaling>
          <c:orientation val="minMax"/>
        </c:scaling>
        <c:delete val="1"/>
        <c:axPos val="b"/>
        <c:tickLblPos val="none"/>
        <c:crossAx val="78469376"/>
        <c:crosses val="autoZero"/>
        <c:auto val="1"/>
        <c:lblAlgn val="ctr"/>
        <c:lblOffset val="100"/>
      </c:catAx>
      <c:valAx>
        <c:axId val="78469376"/>
        <c:scaling>
          <c:orientation val="minMax"/>
          <c:max val="55000"/>
          <c:min val="0"/>
        </c:scaling>
        <c:delete val="1"/>
        <c:axPos val="l"/>
        <c:numFmt formatCode="0.0_ ;\-0.0\ " sourceLinked="1"/>
        <c:tickLblPos val="none"/>
        <c:crossAx val="78467840"/>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3828.7</c:v>
                </c:pt>
                <c:pt idx="1">
                  <c:v>35009.5</c:v>
                </c:pt>
                <c:pt idx="2">
                  <c:v>8752.6</c:v>
                </c:pt>
                <c:pt idx="3">
                  <c:v>4623</c:v>
                </c:pt>
                <c:pt idx="4">
                  <c:v>24891.7</c:v>
                </c:pt>
                <c:pt idx="5">
                  <c:v>21320</c:v>
                </c:pt>
                <c:pt idx="6">
                  <c:v>11995.7</c:v>
                </c:pt>
                <c:pt idx="7">
                  <c:v>7085.7</c:v>
                </c:pt>
                <c:pt idx="8">
                  <c:v>15854</c:v>
                </c:pt>
                <c:pt idx="9">
                  <c:v>2182.1</c:v>
                </c:pt>
                <c:pt idx="10">
                  <c:v>1390.7</c:v>
                </c:pt>
              </c:numCache>
            </c:numRef>
          </c:val>
        </c:ser>
        <c:gapWidth val="10"/>
        <c:axId val="78480896"/>
        <c:axId val="78482432"/>
      </c:barChart>
      <c:catAx>
        <c:axId val="78480896"/>
        <c:scaling>
          <c:orientation val="minMax"/>
        </c:scaling>
        <c:delete val="1"/>
        <c:axPos val="b"/>
        <c:tickLblPos val="none"/>
        <c:crossAx val="78482432"/>
        <c:crosses val="autoZero"/>
        <c:auto val="1"/>
        <c:lblAlgn val="ctr"/>
        <c:lblOffset val="100"/>
      </c:catAx>
      <c:valAx>
        <c:axId val="78482432"/>
        <c:scaling>
          <c:orientation val="minMax"/>
          <c:max val="40000"/>
          <c:min val="0"/>
        </c:scaling>
        <c:delete val="1"/>
        <c:axPos val="l"/>
        <c:numFmt formatCode="0.00" sourceLinked="1"/>
        <c:tickLblPos val="none"/>
        <c:crossAx val="78480896"/>
        <c:crosses val="autoZero"/>
        <c:crossBetween val="between"/>
      </c:valAx>
      <c:spPr>
        <a:noFill/>
        <a:ln w="25400">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dPt>
          <c:cat>
            <c:strRef>
              <c:f>жилье!$A$6:$A$16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жилье!$B$6:$B$16</c:f>
              <c:numCache>
                <c:formatCode>0.00</c:formatCode>
                <c:ptCount val="11"/>
                <c:pt idx="0">
                  <c:v>66.400000000000006</c:v>
                </c:pt>
                <c:pt idx="1">
                  <c:v>117.2</c:v>
                </c:pt>
                <c:pt idx="2">
                  <c:v>55.7</c:v>
                </c:pt>
                <c:pt idx="3">
                  <c:v>13.4</c:v>
                </c:pt>
                <c:pt idx="4">
                  <c:v>201.1</c:v>
                </c:pt>
                <c:pt idx="5">
                  <c:v>45.6</c:v>
                </c:pt>
                <c:pt idx="6">
                  <c:v>44.9</c:v>
                </c:pt>
                <c:pt idx="7">
                  <c:v>1.7</c:v>
                </c:pt>
                <c:pt idx="8">
                  <c:v>105.5</c:v>
                </c:pt>
                <c:pt idx="9">
                  <c:v>5.3</c:v>
                </c:pt>
                <c:pt idx="10">
                  <c:v>0.60000000000000064</c:v>
                </c:pt>
              </c:numCache>
            </c:numRef>
          </c:val>
        </c:ser>
        <c:gapWidth val="10"/>
        <c:axId val="78510336"/>
        <c:axId val="81723392"/>
      </c:barChart>
      <c:catAx>
        <c:axId val="78510336"/>
        <c:scaling>
          <c:orientation val="minMax"/>
        </c:scaling>
        <c:delete val="1"/>
        <c:axPos val="b"/>
        <c:tickLblPos val="none"/>
        <c:crossAx val="81723392"/>
        <c:crosses val="autoZero"/>
        <c:auto val="1"/>
        <c:lblAlgn val="ctr"/>
        <c:lblOffset val="100"/>
      </c:catAx>
      <c:valAx>
        <c:axId val="81723392"/>
        <c:scaling>
          <c:orientation val="minMax"/>
          <c:max val="210"/>
          <c:min val="0"/>
        </c:scaling>
        <c:delete val="1"/>
        <c:axPos val="l"/>
        <c:numFmt formatCode="0.00" sourceLinked="1"/>
        <c:tickLblPos val="none"/>
        <c:crossAx val="78510336"/>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1588.2</c:v>
                </c:pt>
                <c:pt idx="1">
                  <c:v>6332.9</c:v>
                </c:pt>
                <c:pt idx="2">
                  <c:v>-3596.7</c:v>
                </c:pt>
                <c:pt idx="3">
                  <c:v>4472.8</c:v>
                </c:pt>
                <c:pt idx="4">
                  <c:v>8956.2999999999829</c:v>
                </c:pt>
                <c:pt idx="5">
                  <c:v>-6699.8</c:v>
                </c:pt>
                <c:pt idx="6">
                  <c:v>-52001.599999999999</c:v>
                </c:pt>
                <c:pt idx="7">
                  <c:v>4896.2</c:v>
                </c:pt>
                <c:pt idx="8">
                  <c:v>92512.7</c:v>
                </c:pt>
                <c:pt idx="9">
                  <c:v>-3555.1</c:v>
                </c:pt>
                <c:pt idx="10">
                  <c:v>4396.6000000000004</c:v>
                </c:pt>
              </c:numCache>
            </c:numRef>
          </c:val>
        </c:ser>
        <c:gapWidth val="10"/>
        <c:axId val="81734656"/>
        <c:axId val="81752832"/>
      </c:barChart>
      <c:catAx>
        <c:axId val="81734656"/>
        <c:scaling>
          <c:orientation val="minMax"/>
        </c:scaling>
        <c:axPos val="b"/>
        <c:majorTickMark val="none"/>
        <c:tickLblPos val="none"/>
        <c:crossAx val="81752832"/>
        <c:crosses val="autoZero"/>
        <c:auto val="1"/>
        <c:lblAlgn val="ctr"/>
        <c:lblOffset val="100"/>
      </c:catAx>
      <c:valAx>
        <c:axId val="81752832"/>
        <c:scaling>
          <c:orientation val="minMax"/>
          <c:max val="9000"/>
          <c:min val="-500"/>
        </c:scaling>
        <c:axPos val="l"/>
        <c:numFmt formatCode="0.00" sourceLinked="1"/>
        <c:tickLblPos val="none"/>
        <c:crossAx val="81734656"/>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rgbClr val="002060"/>
              </a:solidFill>
            </c:spPr>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44.2</c:v>
                </c:pt>
                <c:pt idx="1">
                  <c:v>49.2</c:v>
                </c:pt>
                <c:pt idx="2">
                  <c:v>45</c:v>
                </c:pt>
                <c:pt idx="3">
                  <c:v>40.5</c:v>
                </c:pt>
                <c:pt idx="4">
                  <c:v>33.9</c:v>
                </c:pt>
                <c:pt idx="5">
                  <c:v>46.7</c:v>
                </c:pt>
                <c:pt idx="6">
                  <c:v>44.5</c:v>
                </c:pt>
                <c:pt idx="7">
                  <c:v>48.1</c:v>
                </c:pt>
                <c:pt idx="8">
                  <c:v>40</c:v>
                </c:pt>
                <c:pt idx="9">
                  <c:v>52.7</c:v>
                </c:pt>
                <c:pt idx="10">
                  <c:v>57.5</c:v>
                </c:pt>
              </c:numCache>
            </c:numRef>
          </c:val>
        </c:ser>
        <c:gapWidth val="10"/>
        <c:axId val="81776640"/>
        <c:axId val="81778176"/>
      </c:barChart>
      <c:catAx>
        <c:axId val="81776640"/>
        <c:scaling>
          <c:orientation val="minMax"/>
        </c:scaling>
        <c:delete val="1"/>
        <c:axPos val="b"/>
        <c:tickLblPos val="none"/>
        <c:crossAx val="81778176"/>
        <c:crosses val="autoZero"/>
        <c:auto val="1"/>
        <c:lblAlgn val="ctr"/>
        <c:lblOffset val="100"/>
      </c:catAx>
      <c:valAx>
        <c:axId val="81778176"/>
        <c:scaling>
          <c:orientation val="minMax"/>
          <c:max val="70"/>
          <c:min val="0"/>
        </c:scaling>
        <c:delete val="1"/>
        <c:axPos val="l"/>
        <c:numFmt formatCode="0.00" sourceLinked="1"/>
        <c:tickLblPos val="none"/>
        <c:crossAx val="81776640"/>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0</c:formatCode>
                <c:ptCount val="11"/>
                <c:pt idx="0">
                  <c:v>23324</c:v>
                </c:pt>
                <c:pt idx="1">
                  <c:v>37973.9</c:v>
                </c:pt>
                <c:pt idx="2">
                  <c:v>24152.5</c:v>
                </c:pt>
                <c:pt idx="3">
                  <c:v>45188.6</c:v>
                </c:pt>
                <c:pt idx="4">
                  <c:v>34008</c:v>
                </c:pt>
                <c:pt idx="5">
                  <c:v>37202.699999999997</c:v>
                </c:pt>
                <c:pt idx="6">
                  <c:v>31254</c:v>
                </c:pt>
                <c:pt idx="7">
                  <c:v>62895.199999999997</c:v>
                </c:pt>
                <c:pt idx="8">
                  <c:v>55496</c:v>
                </c:pt>
                <c:pt idx="9">
                  <c:v>25411</c:v>
                </c:pt>
                <c:pt idx="10">
                  <c:v>77677</c:v>
                </c:pt>
              </c:numCache>
            </c:numRef>
          </c:val>
        </c:ser>
        <c:gapWidth val="10"/>
        <c:axId val="81801984"/>
        <c:axId val="81803520"/>
      </c:barChart>
      <c:catAx>
        <c:axId val="81801984"/>
        <c:scaling>
          <c:orientation val="minMax"/>
        </c:scaling>
        <c:delete val="1"/>
        <c:axPos val="b"/>
        <c:tickLblPos val="none"/>
        <c:crossAx val="81803520"/>
        <c:crosses val="autoZero"/>
        <c:auto val="1"/>
        <c:lblAlgn val="ctr"/>
        <c:lblOffset val="100"/>
      </c:catAx>
      <c:valAx>
        <c:axId val="81803520"/>
        <c:scaling>
          <c:orientation val="minMax"/>
          <c:max val="85000"/>
          <c:min val="0"/>
        </c:scaling>
        <c:delete val="1"/>
        <c:axPos val="l"/>
        <c:numFmt formatCode="0" sourceLinked="1"/>
        <c:tickLblPos val="none"/>
        <c:crossAx val="81801984"/>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39417.800000000003</c:v>
                </c:pt>
                <c:pt idx="1">
                  <c:v>72346.3</c:v>
                </c:pt>
                <c:pt idx="2">
                  <c:v>43245.1</c:v>
                </c:pt>
                <c:pt idx="3">
                  <c:v>75200.399999999994</c:v>
                </c:pt>
                <c:pt idx="4">
                  <c:v>47585.9</c:v>
                </c:pt>
                <c:pt idx="5">
                  <c:v>50523</c:v>
                </c:pt>
                <c:pt idx="6">
                  <c:v>48881.9</c:v>
                </c:pt>
                <c:pt idx="7">
                  <c:v>91682.8</c:v>
                </c:pt>
                <c:pt idx="8">
                  <c:v>89000</c:v>
                </c:pt>
                <c:pt idx="9">
                  <c:v>43834.1</c:v>
                </c:pt>
                <c:pt idx="10">
                  <c:v>111892</c:v>
                </c:pt>
              </c:numCache>
            </c:numRef>
          </c:val>
        </c:ser>
        <c:gapWidth val="10"/>
        <c:axId val="81827328"/>
        <c:axId val="81828864"/>
      </c:barChart>
      <c:catAx>
        <c:axId val="81827328"/>
        <c:scaling>
          <c:orientation val="minMax"/>
        </c:scaling>
        <c:delete val="1"/>
        <c:axPos val="b"/>
        <c:tickLblPos val="none"/>
        <c:crossAx val="81828864"/>
        <c:crosses val="autoZero"/>
        <c:auto val="1"/>
        <c:lblAlgn val="ctr"/>
        <c:lblOffset val="100"/>
      </c:catAx>
      <c:valAx>
        <c:axId val="81828864"/>
        <c:scaling>
          <c:orientation val="minMax"/>
          <c:max val="120000"/>
          <c:min val="0"/>
        </c:scaling>
        <c:delete val="1"/>
        <c:axPos val="l"/>
        <c:numFmt formatCode="0.00" sourceLinked="1"/>
        <c:tickLblPos val="none"/>
        <c:crossAx val="81827328"/>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8E81-D35C-4668-A909-7C2D1C3A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P14_GulyaevaTE</cp:lastModifiedBy>
  <cp:revision>3</cp:revision>
  <cp:lastPrinted>2020-06-26T03:19:00Z</cp:lastPrinted>
  <dcterms:created xsi:type="dcterms:W3CDTF">2020-07-02T01:33:00Z</dcterms:created>
  <dcterms:modified xsi:type="dcterms:W3CDTF">2020-07-02T01:35:00Z</dcterms:modified>
</cp:coreProperties>
</file>