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282A2E"/>
          <w:sz w:val="20"/>
          <w:szCs w:val="20"/>
        </w:rPr>
        <w:t>Пресс-служба Сах</w:t>
      </w:r>
      <w:proofErr w:type="gramStart"/>
      <w:r>
        <w:rPr>
          <w:rFonts w:ascii="Arial" w:hAnsi="Arial" w:cs="Arial"/>
          <w:b/>
          <w:bCs/>
          <w:color w:val="282A2E"/>
          <w:sz w:val="20"/>
          <w:szCs w:val="20"/>
        </w:rPr>
        <w:t>а(</w:t>
      </w:r>
      <w:proofErr w:type="gramEnd"/>
      <w:r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>
        <w:rPr>
          <w:rFonts w:ascii="Arial" w:hAnsi="Arial" w:cs="Arial"/>
          <w:color w:val="282A2E"/>
          <w:sz w:val="20"/>
          <w:szCs w:val="20"/>
        </w:rPr>
        <w:t>Телефон: +7 (4112) 42-45-18</w:t>
      </w:r>
    </w:p>
    <w:p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proofErr w:type="gramStart"/>
      <w:r>
        <w:rPr>
          <w:rFonts w:ascii="Arial" w:hAnsi="Arial" w:cs="Arial"/>
          <w:color w:val="282A2E"/>
          <w:sz w:val="20"/>
          <w:szCs w:val="20"/>
          <w:lang w:val="en-US"/>
        </w:rPr>
        <w:t>e</w:t>
      </w:r>
      <w:r>
        <w:rPr>
          <w:rFonts w:ascii="Arial" w:hAnsi="Arial" w:cs="Arial"/>
          <w:color w:val="282A2E"/>
          <w:sz w:val="20"/>
          <w:szCs w:val="20"/>
        </w:rPr>
        <w:t>-</w:t>
      </w:r>
      <w:r>
        <w:rPr>
          <w:rFonts w:ascii="Arial" w:hAnsi="Arial" w:cs="Arial"/>
          <w:color w:val="282A2E"/>
          <w:sz w:val="20"/>
          <w:szCs w:val="20"/>
          <w:lang w:val="en-US"/>
        </w:rPr>
        <w:t>mail</w:t>
      </w:r>
      <w:proofErr w:type="gramEnd"/>
      <w:r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>
        <w:rPr>
          <w:rFonts w:ascii="Arial" w:hAnsi="Arial" w:cs="Arial"/>
          <w:color w:val="282A2E"/>
          <w:sz w:val="20"/>
          <w:szCs w:val="20"/>
          <w:lang w:val="en-US"/>
        </w:rPr>
        <w:t>gov</w:t>
      </w:r>
      <w:proofErr w:type="spellEnd"/>
      <w:r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>
      <w:pPr>
        <w:pStyle w:val="a3"/>
        <w:rPr>
          <w:rFonts w:ascii="Arial" w:hAnsi="Arial" w:cs="Arial"/>
          <w:color w:val="282A2E"/>
          <w:sz w:val="26"/>
          <w:szCs w:val="26"/>
        </w:rPr>
      </w:pPr>
    </w:p>
    <w:p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30 августа 2024, Якутск</w:t>
      </w:r>
    </w:p>
    <w:p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ОБОРОТ ОБЩЕСТВЕННОГО ПИТАНИЯ</w:t>
      </w:r>
    </w:p>
    <w:p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В РЕСПУБЛИКЕ САХА (ЯКУТИЯ) В ЯНВАРЕ – ИЮЛЕ 2024 ГОДА</w:t>
      </w:r>
    </w:p>
    <w:p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предварительным данным, за первые семь месяцев 2024 года оборот общественного питания в Республике Саха (Якутия) составил 19,6 </w:t>
      </w:r>
      <w:proofErr w:type="spellStart"/>
      <w:proofErr w:type="gramStart"/>
      <w:r>
        <w:rPr>
          <w:rFonts w:ascii="Arial" w:hAnsi="Arial" w:cs="Arial"/>
        </w:rPr>
        <w:t>млрд</w:t>
      </w:r>
      <w:proofErr w:type="spellEnd"/>
      <w:proofErr w:type="gramEnd"/>
      <w:r>
        <w:rPr>
          <w:rFonts w:ascii="Arial" w:hAnsi="Arial" w:cs="Arial"/>
        </w:rPr>
        <w:t xml:space="preserve"> рублей, что в сопоставимых ценах на 5,2% больше, чем за аналогичный период 2023 года.</w:t>
      </w:r>
      <w:bookmarkStart w:id="0" w:name="_GoBack"/>
      <w:bookmarkEnd w:id="0"/>
    </w:p>
    <w:p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2010 – 2023 годах отмечался ежегодный рост оборота общественного питания в Якутии. Если в 2010 году он составлял 9,0 </w:t>
      </w:r>
      <w:proofErr w:type="gramStart"/>
      <w:r>
        <w:rPr>
          <w:rFonts w:ascii="Arial" w:hAnsi="Arial" w:cs="Arial"/>
        </w:rPr>
        <w:t>млрд</w:t>
      </w:r>
      <w:proofErr w:type="gramEnd"/>
      <w:r>
        <w:rPr>
          <w:rFonts w:ascii="Arial" w:hAnsi="Arial" w:cs="Arial"/>
        </w:rPr>
        <w:t xml:space="preserve"> рублей, то в 2023 году – 33,7 млрд рублей в фактически действовавших ценах. Небольшое снижение имело место в 2020 году в силу </w:t>
      </w:r>
      <w:proofErr w:type="spellStart"/>
      <w:r>
        <w:rPr>
          <w:rFonts w:ascii="Arial" w:hAnsi="Arial" w:cs="Arial"/>
        </w:rPr>
        <w:t>ковидных</w:t>
      </w:r>
      <w:proofErr w:type="spellEnd"/>
      <w:r>
        <w:rPr>
          <w:rFonts w:ascii="Arial" w:hAnsi="Arial" w:cs="Arial"/>
        </w:rPr>
        <w:t xml:space="preserve"> ограничений.</w:t>
      </w:r>
    </w:p>
    <w:p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На 1 июля текущего года в республике работали 165 столовых и закусочных, 552 столовые на балансе учебных заведений, организаций и промышленных предприятий, 603 ресторана, кафе и бара.</w:t>
      </w:r>
    </w:p>
    <w:p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Среднесписочная численность работников организаций (с учетом субъектов малого предпринимательства – юридических лиц), осуществляющих деятельность по предоставлению продуктов питания и напитков, в июне 2024 года в Якутии составляла 3597 человек.</w:t>
      </w: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</w:pPr>
    </w:p>
    <w:p>
      <w:pPr>
        <w:pStyle w:val="a3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Исп. Лю Д.Д.</w:t>
      </w:r>
    </w:p>
    <w:sectPr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pPr>
      <w:spacing w:after="120" w:line="480" w:lineRule="auto"/>
    </w:pPr>
    <w:rPr>
      <w:rFonts w:ascii="Calibri" w:eastAsia="Calibri" w:hAnsi="Calibri" w:cs="Times New Roman"/>
      <w:kern w:val="0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Calibri" w:eastAsia="Calibri" w:hAnsi="Calibri" w:cs="Times New Roman"/>
      <w:kern w:val="0"/>
    </w:rPr>
  </w:style>
  <w:style w:type="paragraph" w:styleId="a8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</w:rPr>
  </w:style>
  <w:style w:type="paragraph" w:styleId="a9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686D-C7D3-4B02-877C-ABD75AC8F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P14_ZaharovaSV</cp:lastModifiedBy>
  <cp:revision>26</cp:revision>
  <cp:lastPrinted>2024-08-30T01:48:00Z</cp:lastPrinted>
  <dcterms:created xsi:type="dcterms:W3CDTF">2024-08-28T06:15:00Z</dcterms:created>
  <dcterms:modified xsi:type="dcterms:W3CDTF">2024-08-30T03:55:00Z</dcterms:modified>
</cp:coreProperties>
</file>