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E4" w:rsidRPr="00F17E26" w:rsidRDefault="009738E4" w:rsidP="009738E4">
      <w:pPr>
        <w:pStyle w:val="Default"/>
        <w:jc w:val="right"/>
        <w:rPr>
          <w:i/>
          <w:iCs/>
          <w:color w:val="auto"/>
          <w:sz w:val="22"/>
          <w:szCs w:val="22"/>
        </w:rPr>
      </w:pPr>
      <w:r w:rsidRPr="00F17E26">
        <w:rPr>
          <w:i/>
          <w:iCs/>
          <w:color w:val="auto"/>
          <w:sz w:val="22"/>
          <w:szCs w:val="22"/>
        </w:rPr>
        <w:t xml:space="preserve">При опубликовании ссылка </w:t>
      </w:r>
    </w:p>
    <w:p w:rsidR="009738E4" w:rsidRPr="00F17E26" w:rsidRDefault="009738E4" w:rsidP="009738E4">
      <w:pPr>
        <w:pStyle w:val="Default"/>
        <w:jc w:val="right"/>
        <w:rPr>
          <w:color w:val="auto"/>
          <w:sz w:val="22"/>
          <w:szCs w:val="22"/>
        </w:rPr>
      </w:pPr>
      <w:r w:rsidRPr="00F17E26">
        <w:rPr>
          <w:i/>
          <w:iCs/>
          <w:color w:val="auto"/>
          <w:sz w:val="22"/>
          <w:szCs w:val="22"/>
        </w:rPr>
        <w:t>на Сах</w:t>
      </w:r>
      <w:proofErr w:type="gramStart"/>
      <w:r w:rsidRPr="00F17E26">
        <w:rPr>
          <w:i/>
          <w:iCs/>
          <w:color w:val="auto"/>
          <w:sz w:val="22"/>
          <w:szCs w:val="22"/>
        </w:rPr>
        <w:t>а(</w:t>
      </w:r>
      <w:proofErr w:type="gramEnd"/>
      <w:r w:rsidRPr="00F17E26">
        <w:rPr>
          <w:i/>
          <w:iCs/>
          <w:color w:val="auto"/>
          <w:sz w:val="22"/>
          <w:szCs w:val="22"/>
        </w:rPr>
        <w:t>Якутия)</w:t>
      </w:r>
      <w:proofErr w:type="spellStart"/>
      <w:r w:rsidRPr="00F17E26">
        <w:rPr>
          <w:i/>
          <w:iCs/>
          <w:color w:val="auto"/>
          <w:sz w:val="22"/>
          <w:szCs w:val="22"/>
        </w:rPr>
        <w:t>стат</w:t>
      </w:r>
      <w:proofErr w:type="spellEnd"/>
      <w:r w:rsidRPr="00F17E26">
        <w:rPr>
          <w:i/>
          <w:iCs/>
          <w:color w:val="auto"/>
          <w:sz w:val="22"/>
          <w:szCs w:val="22"/>
        </w:rPr>
        <w:t xml:space="preserve"> обязательна </w:t>
      </w:r>
    </w:p>
    <w:p w:rsidR="009738E4" w:rsidRPr="00F17E26" w:rsidRDefault="009738E4" w:rsidP="009738E4">
      <w:pPr>
        <w:pStyle w:val="Default"/>
        <w:rPr>
          <w:b/>
          <w:bCs/>
          <w:color w:val="auto"/>
          <w:sz w:val="20"/>
          <w:szCs w:val="20"/>
        </w:rPr>
      </w:pPr>
    </w:p>
    <w:p w:rsidR="009738E4" w:rsidRPr="00F17E26" w:rsidRDefault="009738E4" w:rsidP="009738E4">
      <w:pPr>
        <w:pStyle w:val="Default"/>
        <w:rPr>
          <w:b/>
          <w:bCs/>
          <w:color w:val="auto"/>
          <w:sz w:val="20"/>
          <w:szCs w:val="20"/>
        </w:rPr>
      </w:pPr>
    </w:p>
    <w:p w:rsidR="009738E4" w:rsidRPr="00F17E26" w:rsidRDefault="009738E4" w:rsidP="009738E4">
      <w:pPr>
        <w:pStyle w:val="Default"/>
        <w:rPr>
          <w:b/>
          <w:bCs/>
          <w:color w:val="auto"/>
          <w:sz w:val="20"/>
          <w:szCs w:val="20"/>
        </w:rPr>
      </w:pPr>
    </w:p>
    <w:p w:rsidR="009738E4" w:rsidRPr="00F17E26" w:rsidRDefault="009738E4" w:rsidP="009738E4">
      <w:pPr>
        <w:pStyle w:val="Default"/>
        <w:rPr>
          <w:b/>
          <w:bCs/>
          <w:color w:val="auto"/>
          <w:sz w:val="20"/>
          <w:szCs w:val="20"/>
        </w:rPr>
      </w:pPr>
      <w:r w:rsidRPr="00F17E26">
        <w:rPr>
          <w:b/>
          <w:bCs/>
          <w:color w:val="auto"/>
          <w:sz w:val="20"/>
          <w:szCs w:val="20"/>
        </w:rPr>
        <w:t xml:space="preserve">ТЕРРИТОРИАЛЬНЫЙ ОРГАН ФЕДЕРАЛЬНОЙ СЛУЖБЫ </w:t>
      </w:r>
    </w:p>
    <w:p w:rsidR="009738E4" w:rsidRPr="00F17E26" w:rsidRDefault="009738E4" w:rsidP="009738E4">
      <w:pPr>
        <w:pStyle w:val="Default"/>
        <w:rPr>
          <w:b/>
          <w:bCs/>
          <w:color w:val="auto"/>
          <w:sz w:val="20"/>
          <w:szCs w:val="20"/>
        </w:rPr>
      </w:pPr>
      <w:r w:rsidRPr="00F17E26">
        <w:rPr>
          <w:b/>
          <w:bCs/>
          <w:color w:val="auto"/>
          <w:sz w:val="20"/>
          <w:szCs w:val="20"/>
        </w:rPr>
        <w:t xml:space="preserve">ГОСУДАРСТВЕННОЙ СТАТИСТИКИ </w:t>
      </w:r>
      <w:proofErr w:type="gramStart"/>
      <w:r w:rsidRPr="00F17E26">
        <w:rPr>
          <w:b/>
          <w:bCs/>
          <w:color w:val="auto"/>
          <w:sz w:val="20"/>
          <w:szCs w:val="20"/>
        </w:rPr>
        <w:t>ПО</w:t>
      </w:r>
      <w:proofErr w:type="gramEnd"/>
      <w:r w:rsidRPr="00F17E26">
        <w:rPr>
          <w:b/>
          <w:bCs/>
          <w:color w:val="auto"/>
          <w:sz w:val="20"/>
          <w:szCs w:val="20"/>
        </w:rPr>
        <w:t xml:space="preserve"> </w:t>
      </w:r>
    </w:p>
    <w:p w:rsidR="009738E4" w:rsidRPr="00F17E26" w:rsidRDefault="009738E4" w:rsidP="009738E4">
      <w:pPr>
        <w:pStyle w:val="Default"/>
        <w:rPr>
          <w:color w:val="auto"/>
          <w:sz w:val="20"/>
          <w:szCs w:val="20"/>
        </w:rPr>
      </w:pPr>
      <w:r w:rsidRPr="00F17E26">
        <w:rPr>
          <w:b/>
          <w:bCs/>
          <w:color w:val="auto"/>
          <w:sz w:val="20"/>
          <w:szCs w:val="20"/>
        </w:rPr>
        <w:t xml:space="preserve">РЕСПУБЛИКЕ САХА (ЯКУТИЯ) </w:t>
      </w:r>
    </w:p>
    <w:p w:rsidR="009738E4" w:rsidRPr="00F17E26" w:rsidRDefault="009738E4" w:rsidP="009738E4">
      <w:pPr>
        <w:pStyle w:val="Default"/>
        <w:spacing w:before="60"/>
        <w:rPr>
          <w:color w:val="auto"/>
          <w:sz w:val="20"/>
          <w:szCs w:val="20"/>
        </w:rPr>
      </w:pPr>
      <w:r w:rsidRPr="00F17E26">
        <w:rPr>
          <w:b/>
          <w:bCs/>
          <w:color w:val="auto"/>
          <w:sz w:val="20"/>
          <w:szCs w:val="20"/>
        </w:rPr>
        <w:t>- САХ</w:t>
      </w:r>
      <w:proofErr w:type="gramStart"/>
      <w:r w:rsidRPr="00F17E26">
        <w:rPr>
          <w:b/>
          <w:bCs/>
          <w:color w:val="auto"/>
          <w:sz w:val="20"/>
          <w:szCs w:val="20"/>
        </w:rPr>
        <w:t>А(</w:t>
      </w:r>
      <w:proofErr w:type="gramEnd"/>
      <w:r w:rsidRPr="00F17E26">
        <w:rPr>
          <w:b/>
          <w:bCs/>
          <w:color w:val="auto"/>
          <w:sz w:val="20"/>
          <w:szCs w:val="20"/>
        </w:rPr>
        <w:t xml:space="preserve">ЯКУТИЯ)СТАТ </w:t>
      </w:r>
    </w:p>
    <w:p w:rsidR="009738E4" w:rsidRPr="00F17E26" w:rsidRDefault="009738E4" w:rsidP="009738E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738E4" w:rsidRPr="00F17E26" w:rsidRDefault="009738E4" w:rsidP="009738E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738E4" w:rsidRPr="00F17E26" w:rsidRDefault="009738E4" w:rsidP="009738E4">
      <w:pPr>
        <w:pStyle w:val="Default"/>
        <w:rPr>
          <w:rFonts w:ascii="Times New Roman" w:hAnsi="Times New Roman" w:cs="Times New Roman"/>
          <w:color w:val="auto"/>
        </w:rPr>
      </w:pPr>
      <w:r w:rsidRPr="00F17E26">
        <w:rPr>
          <w:rFonts w:ascii="Times New Roman" w:hAnsi="Times New Roman" w:cs="Times New Roman"/>
          <w:color w:val="auto"/>
        </w:rPr>
        <w:t xml:space="preserve">ПРЕСС-ВЫПУСК </w:t>
      </w:r>
    </w:p>
    <w:p w:rsidR="009738E4" w:rsidRPr="00F17E26" w:rsidRDefault="005B56C5" w:rsidP="009738E4">
      <w:pPr>
        <w:rPr>
          <w:b/>
          <w:shd w:val="clear" w:color="auto" w:fill="FFFFFF"/>
          <w:lang w:val="ru-RU"/>
        </w:rPr>
      </w:pPr>
      <w:r w:rsidRPr="00F17E26">
        <w:rPr>
          <w:lang w:val="ru-RU"/>
        </w:rPr>
        <w:t>№06-32/</w:t>
      </w:r>
      <w:r w:rsidR="00F17E26" w:rsidRPr="00F17E26">
        <w:rPr>
          <w:lang w:val="ru-RU"/>
        </w:rPr>
        <w:t>3</w:t>
      </w:r>
      <w:r w:rsidRPr="00F17E26">
        <w:rPr>
          <w:lang w:val="ru-RU"/>
        </w:rPr>
        <w:t xml:space="preserve"> </w:t>
      </w:r>
      <w:r w:rsidR="009738E4" w:rsidRPr="00F17E26">
        <w:rPr>
          <w:lang w:val="ru-RU"/>
        </w:rPr>
        <w:t xml:space="preserve"> от </w:t>
      </w:r>
      <w:r w:rsidR="00F17E26" w:rsidRPr="00F17E26">
        <w:rPr>
          <w:lang w:val="ru-RU"/>
        </w:rPr>
        <w:t>23</w:t>
      </w:r>
      <w:r w:rsidR="009738E4" w:rsidRPr="00F17E26">
        <w:rPr>
          <w:lang w:val="ru-RU"/>
        </w:rPr>
        <w:t>.</w:t>
      </w:r>
      <w:r w:rsidR="00F17E26" w:rsidRPr="00F17E26">
        <w:rPr>
          <w:lang w:val="ru-RU"/>
        </w:rPr>
        <w:t>11</w:t>
      </w:r>
      <w:r w:rsidR="009738E4" w:rsidRPr="00F17E26">
        <w:rPr>
          <w:lang w:val="ru-RU"/>
        </w:rPr>
        <w:t>.2020г.</w:t>
      </w:r>
    </w:p>
    <w:p w:rsidR="009738E4" w:rsidRPr="00F17E26" w:rsidRDefault="009738E4" w:rsidP="000E271D">
      <w:pPr>
        <w:pStyle w:val="2"/>
        <w:spacing w:line="288" w:lineRule="auto"/>
        <w:contextualSpacing/>
        <w:rPr>
          <w:rFonts w:ascii="Times New Roman" w:hAnsi="Times New Roman"/>
          <w:sz w:val="28"/>
          <w:szCs w:val="24"/>
        </w:rPr>
      </w:pPr>
    </w:p>
    <w:p w:rsidR="00555CE4" w:rsidRPr="00535E7B" w:rsidRDefault="00555CE4" w:rsidP="00555CE4">
      <w:pPr>
        <w:pStyle w:val="2"/>
        <w:spacing w:line="288" w:lineRule="auto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Ввод в действие жилых домов года</w:t>
      </w:r>
      <w:r w:rsidRPr="00535E7B">
        <w:rPr>
          <w:rFonts w:ascii="Times New Roman" w:hAnsi="Times New Roman"/>
          <w:sz w:val="28"/>
          <w:szCs w:val="24"/>
        </w:rPr>
        <w:t xml:space="preserve"> в Республике Саха (Якутия)</w:t>
      </w:r>
    </w:p>
    <w:p w:rsidR="009738E4" w:rsidRPr="00535E7B" w:rsidRDefault="00555CE4" w:rsidP="000E271D">
      <w:pPr>
        <w:pStyle w:val="2"/>
        <w:spacing w:line="288" w:lineRule="auto"/>
        <w:contextualSpacing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 январь-октябрь 2020 </w:t>
      </w:r>
    </w:p>
    <w:p w:rsidR="00D90D14" w:rsidRPr="00535E7B" w:rsidRDefault="007D0EE4" w:rsidP="00EF7507">
      <w:pPr>
        <w:pStyle w:val="a7"/>
        <w:rPr>
          <w:noProof/>
          <w:sz w:val="26"/>
          <w:szCs w:val="26"/>
        </w:rPr>
      </w:pPr>
      <w:r w:rsidRPr="00535E7B">
        <w:rPr>
          <w:noProof/>
          <w:sz w:val="26"/>
          <w:szCs w:val="26"/>
        </w:rPr>
        <w:t>В</w:t>
      </w:r>
      <w:r w:rsidR="00D90D14" w:rsidRPr="00535E7B">
        <w:rPr>
          <w:noProof/>
          <w:sz w:val="26"/>
          <w:szCs w:val="26"/>
        </w:rPr>
        <w:t xml:space="preserve"> </w:t>
      </w:r>
      <w:r w:rsidR="007C120D" w:rsidRPr="00535E7B">
        <w:rPr>
          <w:noProof/>
          <w:sz w:val="26"/>
          <w:szCs w:val="26"/>
        </w:rPr>
        <w:t xml:space="preserve">январе-октябре </w:t>
      </w:r>
      <w:r w:rsidR="00D90D14" w:rsidRPr="00535E7B">
        <w:rPr>
          <w:noProof/>
          <w:sz w:val="26"/>
          <w:szCs w:val="26"/>
        </w:rPr>
        <w:t>20</w:t>
      </w:r>
      <w:r w:rsidR="007C120D" w:rsidRPr="00535E7B">
        <w:rPr>
          <w:noProof/>
          <w:sz w:val="26"/>
          <w:szCs w:val="26"/>
        </w:rPr>
        <w:t>20</w:t>
      </w:r>
      <w:r w:rsidR="00D90D14" w:rsidRPr="00535E7B">
        <w:rPr>
          <w:noProof/>
          <w:sz w:val="26"/>
          <w:szCs w:val="26"/>
        </w:rPr>
        <w:t xml:space="preserve"> год</w:t>
      </w:r>
      <w:r w:rsidR="007C120D" w:rsidRPr="00535E7B">
        <w:rPr>
          <w:noProof/>
          <w:sz w:val="26"/>
          <w:szCs w:val="26"/>
        </w:rPr>
        <w:t>а</w:t>
      </w:r>
      <w:r w:rsidR="00D90D14" w:rsidRPr="00535E7B">
        <w:rPr>
          <w:noProof/>
          <w:sz w:val="26"/>
          <w:szCs w:val="26"/>
        </w:rPr>
        <w:t xml:space="preserve"> </w:t>
      </w:r>
      <w:r w:rsidR="00874CF6" w:rsidRPr="00535E7B">
        <w:rPr>
          <w:noProof/>
          <w:sz w:val="26"/>
          <w:szCs w:val="26"/>
        </w:rPr>
        <w:t xml:space="preserve">в республике </w:t>
      </w:r>
      <w:r w:rsidRPr="00535E7B">
        <w:rPr>
          <w:noProof/>
          <w:sz w:val="26"/>
          <w:szCs w:val="26"/>
        </w:rPr>
        <w:t xml:space="preserve">введено </w:t>
      </w:r>
      <w:r w:rsidR="00D90D14" w:rsidRPr="00535E7B">
        <w:rPr>
          <w:noProof/>
          <w:sz w:val="26"/>
          <w:szCs w:val="26"/>
        </w:rPr>
        <w:t>2</w:t>
      </w:r>
      <w:r w:rsidR="007C120D" w:rsidRPr="00535E7B">
        <w:rPr>
          <w:noProof/>
          <w:sz w:val="26"/>
          <w:szCs w:val="26"/>
        </w:rPr>
        <w:t>154</w:t>
      </w:r>
      <w:r w:rsidRPr="00535E7B">
        <w:rPr>
          <w:noProof/>
          <w:sz w:val="26"/>
          <w:szCs w:val="26"/>
        </w:rPr>
        <w:t xml:space="preserve"> жилых дом</w:t>
      </w:r>
      <w:r w:rsidR="007C120D" w:rsidRPr="00535E7B">
        <w:rPr>
          <w:noProof/>
          <w:sz w:val="26"/>
          <w:szCs w:val="26"/>
        </w:rPr>
        <w:t>а</w:t>
      </w:r>
      <w:r w:rsidRPr="00535E7B">
        <w:rPr>
          <w:noProof/>
          <w:sz w:val="26"/>
          <w:szCs w:val="26"/>
        </w:rPr>
        <w:t xml:space="preserve"> общей площадью </w:t>
      </w:r>
      <w:r w:rsidR="007C120D" w:rsidRPr="00535E7B">
        <w:rPr>
          <w:noProof/>
          <w:sz w:val="26"/>
          <w:szCs w:val="26"/>
        </w:rPr>
        <w:t>3</w:t>
      </w:r>
      <w:r w:rsidR="009D795F">
        <w:rPr>
          <w:noProof/>
          <w:sz w:val="26"/>
          <w:szCs w:val="26"/>
        </w:rPr>
        <w:t>1</w:t>
      </w:r>
      <w:r w:rsidR="007C120D" w:rsidRPr="00535E7B">
        <w:rPr>
          <w:noProof/>
          <w:sz w:val="26"/>
          <w:szCs w:val="26"/>
        </w:rPr>
        <w:t xml:space="preserve">0,6 </w:t>
      </w:r>
      <w:r w:rsidRPr="00535E7B">
        <w:rPr>
          <w:noProof/>
          <w:sz w:val="26"/>
          <w:szCs w:val="26"/>
        </w:rPr>
        <w:t xml:space="preserve">тыс. кв. метров </w:t>
      </w:r>
      <w:r w:rsidR="001D1D59" w:rsidRPr="00535E7B">
        <w:rPr>
          <w:noProof/>
          <w:sz w:val="26"/>
          <w:szCs w:val="26"/>
        </w:rPr>
        <w:t xml:space="preserve"> (</w:t>
      </w:r>
      <w:r w:rsidR="00535E7B" w:rsidRPr="00535E7B">
        <w:rPr>
          <w:noProof/>
          <w:sz w:val="26"/>
          <w:szCs w:val="26"/>
        </w:rPr>
        <w:t>309,9</w:t>
      </w:r>
      <w:r w:rsidR="00D90D14" w:rsidRPr="00535E7B">
        <w:rPr>
          <w:noProof/>
          <w:sz w:val="26"/>
          <w:szCs w:val="26"/>
        </w:rPr>
        <w:t xml:space="preserve"> тыс. кв. метров – без учета жилых домов, построенных на земельных участках для ведения садоводства). По сранению с </w:t>
      </w:r>
      <w:r w:rsidR="00535E7B" w:rsidRPr="00535E7B">
        <w:rPr>
          <w:noProof/>
          <w:sz w:val="26"/>
          <w:szCs w:val="26"/>
        </w:rPr>
        <w:t xml:space="preserve">январем-октябрем </w:t>
      </w:r>
      <w:r w:rsidR="00D90D14" w:rsidRPr="00535E7B">
        <w:rPr>
          <w:noProof/>
          <w:sz w:val="26"/>
          <w:szCs w:val="26"/>
        </w:rPr>
        <w:t>201</w:t>
      </w:r>
      <w:r w:rsidR="00535E7B" w:rsidRPr="00535E7B">
        <w:rPr>
          <w:noProof/>
          <w:sz w:val="26"/>
          <w:szCs w:val="26"/>
        </w:rPr>
        <w:t>9</w:t>
      </w:r>
      <w:r w:rsidR="00D90D14" w:rsidRPr="00535E7B">
        <w:rPr>
          <w:noProof/>
          <w:sz w:val="26"/>
          <w:szCs w:val="26"/>
        </w:rPr>
        <w:t xml:space="preserve"> год</w:t>
      </w:r>
      <w:r w:rsidR="00535E7B" w:rsidRPr="00535E7B">
        <w:rPr>
          <w:noProof/>
          <w:sz w:val="26"/>
          <w:szCs w:val="26"/>
        </w:rPr>
        <w:t>а</w:t>
      </w:r>
      <w:r w:rsidR="00D90D14" w:rsidRPr="00535E7B">
        <w:rPr>
          <w:noProof/>
          <w:sz w:val="26"/>
          <w:szCs w:val="26"/>
        </w:rPr>
        <w:t xml:space="preserve"> ввод жилья у</w:t>
      </w:r>
      <w:r w:rsidR="00535E7B" w:rsidRPr="00535E7B">
        <w:rPr>
          <w:noProof/>
          <w:sz w:val="26"/>
          <w:szCs w:val="26"/>
        </w:rPr>
        <w:t xml:space="preserve">меньшился </w:t>
      </w:r>
      <w:r w:rsidR="001D1D59" w:rsidRPr="00535E7B">
        <w:rPr>
          <w:noProof/>
          <w:sz w:val="26"/>
          <w:szCs w:val="26"/>
        </w:rPr>
        <w:t>на</w:t>
      </w:r>
      <w:r w:rsidR="00535E7B" w:rsidRPr="00535E7B">
        <w:rPr>
          <w:noProof/>
          <w:sz w:val="26"/>
          <w:szCs w:val="26"/>
        </w:rPr>
        <w:t xml:space="preserve"> 4,7</w:t>
      </w:r>
      <w:r w:rsidR="00D90D14" w:rsidRPr="00535E7B">
        <w:rPr>
          <w:noProof/>
          <w:sz w:val="26"/>
          <w:szCs w:val="26"/>
        </w:rPr>
        <w:t>%.</w:t>
      </w:r>
      <w:r w:rsidR="00EF7507" w:rsidRPr="00535E7B">
        <w:rPr>
          <w:rStyle w:val="ae"/>
          <w:noProof/>
          <w:sz w:val="26"/>
          <w:szCs w:val="26"/>
        </w:rPr>
        <w:footnoteReference w:id="2"/>
      </w:r>
    </w:p>
    <w:p w:rsidR="00D90D14" w:rsidRPr="00535E7B" w:rsidRDefault="00D90D14" w:rsidP="00EF7507">
      <w:pPr>
        <w:pStyle w:val="a7"/>
        <w:rPr>
          <w:noProof/>
          <w:sz w:val="26"/>
          <w:szCs w:val="26"/>
        </w:rPr>
      </w:pPr>
      <w:r w:rsidRPr="00535E7B">
        <w:rPr>
          <w:noProof/>
          <w:sz w:val="26"/>
          <w:szCs w:val="26"/>
        </w:rPr>
        <w:t>Населением за счет собственных и заемнвх средств посроено  2</w:t>
      </w:r>
      <w:r w:rsidR="00535E7B" w:rsidRPr="00535E7B">
        <w:rPr>
          <w:noProof/>
          <w:sz w:val="26"/>
          <w:szCs w:val="26"/>
        </w:rPr>
        <w:t>117</w:t>
      </w:r>
      <w:r w:rsidRPr="00535E7B">
        <w:rPr>
          <w:noProof/>
          <w:sz w:val="26"/>
          <w:szCs w:val="26"/>
        </w:rPr>
        <w:t xml:space="preserve"> </w:t>
      </w:r>
      <w:r w:rsidR="001D1D59" w:rsidRPr="00535E7B">
        <w:rPr>
          <w:noProof/>
          <w:sz w:val="26"/>
          <w:szCs w:val="26"/>
        </w:rPr>
        <w:t xml:space="preserve">домов общей площадью </w:t>
      </w:r>
      <w:r w:rsidR="00535E7B" w:rsidRPr="00535E7B">
        <w:rPr>
          <w:noProof/>
          <w:sz w:val="26"/>
          <w:szCs w:val="26"/>
        </w:rPr>
        <w:t>177,2</w:t>
      </w:r>
      <w:r w:rsidRPr="00535E7B">
        <w:rPr>
          <w:noProof/>
          <w:sz w:val="26"/>
          <w:szCs w:val="26"/>
        </w:rPr>
        <w:t xml:space="preserve"> т</w:t>
      </w:r>
      <w:r w:rsidR="001D1D59" w:rsidRPr="00535E7B">
        <w:rPr>
          <w:noProof/>
          <w:sz w:val="26"/>
          <w:szCs w:val="26"/>
        </w:rPr>
        <w:t>ыс. кв. метров (</w:t>
      </w:r>
      <w:r w:rsidR="00535E7B" w:rsidRPr="00535E7B">
        <w:rPr>
          <w:noProof/>
          <w:sz w:val="26"/>
          <w:szCs w:val="26"/>
        </w:rPr>
        <w:t>176,4</w:t>
      </w:r>
      <w:r w:rsidRPr="00535E7B">
        <w:rPr>
          <w:noProof/>
          <w:sz w:val="26"/>
          <w:szCs w:val="26"/>
        </w:rPr>
        <w:t xml:space="preserve"> тыс. кв.метров - без учета жилых домов, построенных на земельных участках для ведения садоводства</w:t>
      </w:r>
      <w:r w:rsidR="00A23276" w:rsidRPr="00535E7B">
        <w:rPr>
          <w:noProof/>
          <w:sz w:val="26"/>
          <w:szCs w:val="26"/>
        </w:rPr>
        <w:t xml:space="preserve">), что на </w:t>
      </w:r>
      <w:r w:rsidR="001D1D59" w:rsidRPr="00535E7B">
        <w:rPr>
          <w:noProof/>
          <w:sz w:val="26"/>
          <w:szCs w:val="26"/>
        </w:rPr>
        <w:t>1</w:t>
      </w:r>
      <w:r w:rsidR="00535E7B" w:rsidRPr="00535E7B">
        <w:rPr>
          <w:noProof/>
          <w:sz w:val="26"/>
          <w:szCs w:val="26"/>
        </w:rPr>
        <w:t>0,2</w:t>
      </w:r>
      <w:r w:rsidR="00A23276" w:rsidRPr="00535E7B">
        <w:rPr>
          <w:noProof/>
          <w:sz w:val="26"/>
          <w:szCs w:val="26"/>
        </w:rPr>
        <w:t xml:space="preserve">% больше чем в </w:t>
      </w:r>
      <w:r w:rsidR="00535E7B" w:rsidRPr="00535E7B">
        <w:rPr>
          <w:noProof/>
          <w:sz w:val="26"/>
          <w:szCs w:val="26"/>
        </w:rPr>
        <w:t xml:space="preserve">январе-октябре </w:t>
      </w:r>
      <w:r w:rsidR="00A23276" w:rsidRPr="00535E7B">
        <w:rPr>
          <w:noProof/>
          <w:sz w:val="26"/>
          <w:szCs w:val="26"/>
        </w:rPr>
        <w:t>201</w:t>
      </w:r>
      <w:r w:rsidR="00535E7B" w:rsidRPr="00535E7B">
        <w:rPr>
          <w:noProof/>
          <w:sz w:val="26"/>
          <w:szCs w:val="26"/>
        </w:rPr>
        <w:t>9 года</w:t>
      </w:r>
      <w:r w:rsidR="00A23276" w:rsidRPr="00535E7B">
        <w:rPr>
          <w:noProof/>
          <w:sz w:val="26"/>
          <w:szCs w:val="26"/>
        </w:rPr>
        <w:t>.</w:t>
      </w:r>
    </w:p>
    <w:p w:rsidR="000E271D" w:rsidRPr="00535E7B" w:rsidRDefault="000E271D" w:rsidP="00EF7507">
      <w:pPr>
        <w:pStyle w:val="a3"/>
        <w:spacing w:before="120" w:line="288" w:lineRule="auto"/>
        <w:ind w:firstLine="709"/>
        <w:contextualSpacing/>
        <w:rPr>
          <w:sz w:val="26"/>
          <w:szCs w:val="26"/>
          <w:lang w:val="ru-RU"/>
        </w:rPr>
      </w:pPr>
      <w:r w:rsidRPr="00535E7B">
        <w:rPr>
          <w:sz w:val="26"/>
          <w:szCs w:val="26"/>
          <w:lang w:val="ru-RU"/>
        </w:rPr>
        <w:t xml:space="preserve">Из общего </w:t>
      </w:r>
      <w:r w:rsidR="00DD5901" w:rsidRPr="00535E7B">
        <w:rPr>
          <w:sz w:val="26"/>
          <w:szCs w:val="26"/>
          <w:lang w:val="ru-RU"/>
        </w:rPr>
        <w:t>объема,</w:t>
      </w:r>
      <w:r w:rsidRPr="00535E7B">
        <w:rPr>
          <w:sz w:val="26"/>
          <w:szCs w:val="26"/>
          <w:lang w:val="ru-RU"/>
        </w:rPr>
        <w:t xml:space="preserve"> введенного в действие жилья</w:t>
      </w:r>
      <w:r w:rsidR="00DD5901" w:rsidRPr="00535E7B">
        <w:rPr>
          <w:sz w:val="26"/>
          <w:szCs w:val="26"/>
          <w:lang w:val="ru-RU"/>
        </w:rPr>
        <w:t>,</w:t>
      </w:r>
      <w:r w:rsidRPr="00535E7B">
        <w:rPr>
          <w:sz w:val="26"/>
          <w:szCs w:val="26"/>
          <w:lang w:val="ru-RU"/>
        </w:rPr>
        <w:t xml:space="preserve"> </w:t>
      </w:r>
      <w:r w:rsidRPr="00535E7B">
        <w:rPr>
          <w:b/>
          <w:sz w:val="26"/>
          <w:szCs w:val="26"/>
          <w:lang w:val="ru-RU"/>
        </w:rPr>
        <w:t>на долю сельской местности</w:t>
      </w:r>
      <w:r w:rsidRPr="00535E7B">
        <w:rPr>
          <w:sz w:val="26"/>
          <w:szCs w:val="26"/>
          <w:lang w:val="ru-RU"/>
        </w:rPr>
        <w:t xml:space="preserve"> приходилось </w:t>
      </w:r>
      <w:r w:rsidR="00535E7B" w:rsidRPr="00535E7B">
        <w:rPr>
          <w:sz w:val="26"/>
          <w:szCs w:val="26"/>
          <w:lang w:val="ru-RU"/>
        </w:rPr>
        <w:t>36,6</w:t>
      </w:r>
      <w:r w:rsidRPr="00535E7B">
        <w:rPr>
          <w:sz w:val="26"/>
          <w:szCs w:val="26"/>
          <w:lang w:val="ru-RU"/>
        </w:rPr>
        <w:t xml:space="preserve">%, или </w:t>
      </w:r>
      <w:r w:rsidR="001D1D59" w:rsidRPr="00535E7B">
        <w:rPr>
          <w:sz w:val="26"/>
          <w:szCs w:val="26"/>
          <w:lang w:val="ru-RU"/>
        </w:rPr>
        <w:t>1</w:t>
      </w:r>
      <w:r w:rsidR="00535E7B" w:rsidRPr="00535E7B">
        <w:rPr>
          <w:sz w:val="26"/>
          <w:szCs w:val="26"/>
          <w:lang w:val="ru-RU"/>
        </w:rPr>
        <w:t>13,7</w:t>
      </w:r>
      <w:r w:rsidRPr="00535E7B">
        <w:rPr>
          <w:sz w:val="26"/>
          <w:szCs w:val="26"/>
          <w:lang w:val="ru-RU"/>
        </w:rPr>
        <w:t xml:space="preserve"> тыс. кв. метров, из него построенного населением – </w:t>
      </w:r>
      <w:r w:rsidR="001D1D59" w:rsidRPr="00535E7B">
        <w:rPr>
          <w:sz w:val="26"/>
          <w:szCs w:val="26"/>
          <w:lang w:val="ru-RU"/>
        </w:rPr>
        <w:t>1</w:t>
      </w:r>
      <w:r w:rsidR="00535E7B" w:rsidRPr="00535E7B">
        <w:rPr>
          <w:sz w:val="26"/>
          <w:szCs w:val="26"/>
          <w:lang w:val="ru-RU"/>
        </w:rPr>
        <w:t>10,7</w:t>
      </w:r>
      <w:r w:rsidRPr="00535E7B">
        <w:rPr>
          <w:sz w:val="26"/>
          <w:szCs w:val="26"/>
          <w:lang w:val="ru-RU"/>
        </w:rPr>
        <w:t xml:space="preserve"> тыс. кв. метров. Ввод жилья </w:t>
      </w:r>
      <w:r w:rsidRPr="00535E7B">
        <w:rPr>
          <w:b/>
          <w:sz w:val="26"/>
          <w:szCs w:val="26"/>
          <w:lang w:val="ru-RU"/>
        </w:rPr>
        <w:t>в городской  местности</w:t>
      </w:r>
      <w:r w:rsidRPr="00535E7B">
        <w:rPr>
          <w:sz w:val="26"/>
          <w:szCs w:val="26"/>
          <w:lang w:val="ru-RU"/>
        </w:rPr>
        <w:t xml:space="preserve">  значительно  превышал  объемы  жилищного строительства в сельской местности</w:t>
      </w:r>
      <w:r w:rsidR="00535E7B" w:rsidRPr="00535E7B">
        <w:rPr>
          <w:sz w:val="26"/>
          <w:szCs w:val="26"/>
          <w:lang w:val="ru-RU"/>
        </w:rPr>
        <w:t xml:space="preserve"> и составлял 63,4</w:t>
      </w:r>
      <w:r w:rsidR="00DD5901" w:rsidRPr="00535E7B">
        <w:rPr>
          <w:sz w:val="26"/>
          <w:szCs w:val="26"/>
          <w:lang w:val="ru-RU"/>
        </w:rPr>
        <w:t xml:space="preserve">%  или </w:t>
      </w:r>
      <w:r w:rsidR="00535E7B" w:rsidRPr="00535E7B">
        <w:rPr>
          <w:sz w:val="26"/>
          <w:szCs w:val="26"/>
          <w:lang w:val="ru-RU"/>
        </w:rPr>
        <w:t>196,9</w:t>
      </w:r>
      <w:r w:rsidR="00DD5901" w:rsidRPr="00535E7B">
        <w:rPr>
          <w:sz w:val="26"/>
          <w:szCs w:val="26"/>
          <w:lang w:val="ru-RU"/>
        </w:rPr>
        <w:t xml:space="preserve"> </w:t>
      </w:r>
      <w:r w:rsidRPr="00535E7B">
        <w:rPr>
          <w:sz w:val="26"/>
          <w:szCs w:val="26"/>
          <w:lang w:val="ru-RU"/>
        </w:rPr>
        <w:t xml:space="preserve"> тыс. кв. метров</w:t>
      </w:r>
      <w:r w:rsidR="00DD5901" w:rsidRPr="00535E7B">
        <w:rPr>
          <w:sz w:val="26"/>
          <w:szCs w:val="26"/>
          <w:lang w:val="ru-RU"/>
        </w:rPr>
        <w:t xml:space="preserve">, из него построенного населением – </w:t>
      </w:r>
      <w:r w:rsidR="00535E7B" w:rsidRPr="00535E7B">
        <w:rPr>
          <w:sz w:val="26"/>
          <w:szCs w:val="26"/>
          <w:lang w:val="ru-RU"/>
        </w:rPr>
        <w:t>66,5</w:t>
      </w:r>
      <w:r w:rsidR="002E2DD7" w:rsidRPr="00535E7B">
        <w:rPr>
          <w:sz w:val="26"/>
          <w:szCs w:val="26"/>
          <w:lang w:val="ru-RU"/>
        </w:rPr>
        <w:t xml:space="preserve"> </w:t>
      </w:r>
      <w:r w:rsidR="00DD5901" w:rsidRPr="00535E7B">
        <w:rPr>
          <w:sz w:val="26"/>
          <w:szCs w:val="26"/>
          <w:lang w:val="ru-RU"/>
        </w:rPr>
        <w:t xml:space="preserve"> тыс. кв. метров.</w:t>
      </w:r>
    </w:p>
    <w:p w:rsidR="009738E4" w:rsidRPr="00E97366" w:rsidRDefault="007D0EE4" w:rsidP="00EF7507">
      <w:pPr>
        <w:numPr>
          <w:ilvl w:val="12"/>
          <w:numId w:val="0"/>
        </w:numPr>
        <w:tabs>
          <w:tab w:val="left" w:pos="420"/>
        </w:tabs>
        <w:spacing w:before="120" w:line="288" w:lineRule="auto"/>
        <w:ind w:firstLine="709"/>
        <w:contextualSpacing/>
        <w:jc w:val="both"/>
        <w:rPr>
          <w:sz w:val="26"/>
          <w:szCs w:val="26"/>
          <w:lang w:val="ru-RU"/>
        </w:rPr>
      </w:pPr>
      <w:r w:rsidRPr="00E97366">
        <w:rPr>
          <w:sz w:val="26"/>
          <w:szCs w:val="26"/>
          <w:lang w:val="ru-RU"/>
        </w:rPr>
        <w:t>В разрезе районов наибольшие объемы жилищного строительства отмечены</w:t>
      </w:r>
      <w:r w:rsidR="00974E3F" w:rsidRPr="00E97366">
        <w:rPr>
          <w:sz w:val="26"/>
          <w:szCs w:val="26"/>
          <w:lang w:val="ru-RU"/>
        </w:rPr>
        <w:t xml:space="preserve"> в </w:t>
      </w:r>
      <w:r w:rsidR="00974E3F" w:rsidRPr="00E97366">
        <w:rPr>
          <w:sz w:val="26"/>
          <w:szCs w:val="26"/>
          <w:lang w:val="ru-RU"/>
        </w:rPr>
        <w:br/>
        <w:t>ГО «Город Якутск»</w:t>
      </w:r>
      <w:r w:rsidRPr="00E97366">
        <w:rPr>
          <w:sz w:val="26"/>
          <w:szCs w:val="26"/>
          <w:lang w:val="ru-RU"/>
        </w:rPr>
        <w:t xml:space="preserve"> где было введено </w:t>
      </w:r>
      <w:r w:rsidR="00E97366" w:rsidRPr="00E97366">
        <w:rPr>
          <w:sz w:val="26"/>
          <w:szCs w:val="26"/>
          <w:lang w:val="ru-RU"/>
        </w:rPr>
        <w:t>170,4</w:t>
      </w:r>
      <w:r w:rsidRPr="00E97366">
        <w:rPr>
          <w:sz w:val="26"/>
          <w:szCs w:val="26"/>
          <w:lang w:val="ru-RU"/>
        </w:rPr>
        <w:t xml:space="preserve"> тыс. кв. метров или </w:t>
      </w:r>
      <w:r w:rsidR="00E97366" w:rsidRPr="00E97366">
        <w:rPr>
          <w:sz w:val="26"/>
          <w:szCs w:val="26"/>
          <w:lang w:val="ru-RU"/>
        </w:rPr>
        <w:t>54,9</w:t>
      </w:r>
      <w:r w:rsidRPr="00E97366">
        <w:rPr>
          <w:sz w:val="26"/>
          <w:szCs w:val="26"/>
          <w:lang w:val="ru-RU"/>
        </w:rPr>
        <w:t>% общей площади введенног</w:t>
      </w:r>
      <w:r w:rsidR="009C1B30" w:rsidRPr="00E97366">
        <w:rPr>
          <w:sz w:val="26"/>
          <w:szCs w:val="26"/>
          <w:lang w:val="ru-RU"/>
        </w:rPr>
        <w:t>о жилья в республике</w:t>
      </w:r>
      <w:r w:rsidR="009738E4" w:rsidRPr="00E97366">
        <w:rPr>
          <w:sz w:val="26"/>
          <w:szCs w:val="26"/>
          <w:lang w:val="ru-RU"/>
        </w:rPr>
        <w:t>.</w:t>
      </w:r>
    </w:p>
    <w:p w:rsidR="00EF7507" w:rsidRPr="00315E8F" w:rsidRDefault="00EF7507" w:rsidP="00EF7507">
      <w:pPr>
        <w:spacing w:after="200" w:line="276" w:lineRule="auto"/>
        <w:rPr>
          <w:color w:val="FF0000"/>
          <w:sz w:val="26"/>
          <w:szCs w:val="26"/>
          <w:lang w:val="ru-RU"/>
        </w:rPr>
      </w:pPr>
      <w:r w:rsidRPr="00315E8F">
        <w:rPr>
          <w:color w:val="FF0000"/>
          <w:sz w:val="26"/>
          <w:szCs w:val="26"/>
          <w:lang w:val="ru-RU"/>
        </w:rPr>
        <w:br w:type="page"/>
      </w:r>
    </w:p>
    <w:p w:rsidR="009738E4" w:rsidRPr="00055D64" w:rsidRDefault="00317155" w:rsidP="00EF7507">
      <w:pPr>
        <w:numPr>
          <w:ilvl w:val="12"/>
          <w:numId w:val="0"/>
        </w:numPr>
        <w:tabs>
          <w:tab w:val="left" w:pos="420"/>
        </w:tabs>
        <w:spacing w:before="240" w:line="312" w:lineRule="auto"/>
        <w:ind w:firstLine="851"/>
        <w:contextualSpacing/>
        <w:jc w:val="center"/>
        <w:rPr>
          <w:b/>
          <w:sz w:val="28"/>
          <w:szCs w:val="26"/>
          <w:lang w:val="ru-RU"/>
        </w:rPr>
      </w:pPr>
      <w:r w:rsidRPr="00055D64">
        <w:rPr>
          <w:b/>
          <w:sz w:val="28"/>
          <w:szCs w:val="26"/>
          <w:lang w:val="ru-RU"/>
        </w:rPr>
        <w:lastRenderedPageBreak/>
        <w:t>Ввод в действие жилых домов</w:t>
      </w:r>
    </w:p>
    <w:p w:rsidR="00317155" w:rsidRPr="00055D64" w:rsidRDefault="00317155" w:rsidP="00317155">
      <w:pPr>
        <w:numPr>
          <w:ilvl w:val="12"/>
          <w:numId w:val="0"/>
        </w:numPr>
        <w:tabs>
          <w:tab w:val="left" w:pos="420"/>
        </w:tabs>
        <w:spacing w:line="312" w:lineRule="auto"/>
        <w:ind w:firstLine="851"/>
        <w:jc w:val="center"/>
        <w:rPr>
          <w:lang w:val="ru-RU"/>
        </w:rPr>
      </w:pPr>
      <w:r w:rsidRPr="00055D64">
        <w:rPr>
          <w:lang w:val="ru-RU"/>
        </w:rPr>
        <w:t>(квадратных метров общей площади)</w:t>
      </w:r>
    </w:p>
    <w:p w:rsidR="009738E4" w:rsidRPr="00315E8F" w:rsidRDefault="009738E4" w:rsidP="00317155">
      <w:pPr>
        <w:numPr>
          <w:ilvl w:val="12"/>
          <w:numId w:val="0"/>
        </w:numPr>
        <w:tabs>
          <w:tab w:val="left" w:pos="420"/>
        </w:tabs>
        <w:spacing w:line="312" w:lineRule="auto"/>
        <w:ind w:firstLine="851"/>
        <w:jc w:val="center"/>
        <w:rPr>
          <w:color w:val="FF0000"/>
          <w:lang w:val="ru-RU"/>
        </w:rPr>
      </w:pPr>
    </w:p>
    <w:p w:rsidR="009738E4" w:rsidRPr="00315E8F" w:rsidRDefault="00055D64" w:rsidP="009738E4">
      <w:pPr>
        <w:numPr>
          <w:ilvl w:val="12"/>
          <w:numId w:val="0"/>
        </w:numPr>
        <w:tabs>
          <w:tab w:val="left" w:pos="420"/>
        </w:tabs>
        <w:spacing w:line="312" w:lineRule="auto"/>
        <w:jc w:val="center"/>
        <w:rPr>
          <w:color w:val="FF0000"/>
          <w:lang w:val="ru-RU"/>
        </w:rPr>
      </w:pPr>
      <w:r w:rsidRPr="00055D64">
        <w:rPr>
          <w:noProof/>
          <w:color w:val="FF0000"/>
          <w:lang w:val="ru-RU"/>
        </w:rPr>
        <w:drawing>
          <wp:inline distT="0" distB="0" distL="0" distR="0">
            <wp:extent cx="6324600" cy="2743200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17155" w:rsidRPr="00B228A7" w:rsidRDefault="00317155" w:rsidP="00317155">
      <w:pPr>
        <w:numPr>
          <w:ilvl w:val="12"/>
          <w:numId w:val="0"/>
        </w:numPr>
        <w:tabs>
          <w:tab w:val="left" w:pos="420"/>
        </w:tabs>
        <w:spacing w:line="312" w:lineRule="auto"/>
        <w:contextualSpacing/>
        <w:jc w:val="both"/>
        <w:rPr>
          <w:sz w:val="16"/>
          <w:szCs w:val="16"/>
          <w:lang w:val="ru-RU"/>
        </w:rPr>
      </w:pPr>
    </w:p>
    <w:p w:rsidR="00AA4C6A" w:rsidRPr="00B228A7" w:rsidRDefault="00AA4C6A" w:rsidP="00317155">
      <w:pPr>
        <w:numPr>
          <w:ilvl w:val="12"/>
          <w:numId w:val="0"/>
        </w:numPr>
        <w:tabs>
          <w:tab w:val="left" w:pos="420"/>
        </w:tabs>
        <w:spacing w:line="312" w:lineRule="auto"/>
        <w:contextualSpacing/>
        <w:jc w:val="both"/>
        <w:rPr>
          <w:sz w:val="16"/>
          <w:szCs w:val="16"/>
          <w:lang w:val="ru-RU"/>
        </w:rPr>
      </w:pPr>
    </w:p>
    <w:p w:rsidR="00AA4C6A" w:rsidRPr="00B228A7" w:rsidRDefault="00AA4C6A" w:rsidP="00317155">
      <w:pPr>
        <w:numPr>
          <w:ilvl w:val="12"/>
          <w:numId w:val="0"/>
        </w:numPr>
        <w:tabs>
          <w:tab w:val="left" w:pos="420"/>
        </w:tabs>
        <w:spacing w:line="312" w:lineRule="auto"/>
        <w:contextualSpacing/>
        <w:jc w:val="both"/>
        <w:rPr>
          <w:sz w:val="16"/>
          <w:szCs w:val="16"/>
          <w:lang w:val="ru-RU"/>
        </w:rPr>
      </w:pPr>
    </w:p>
    <w:p w:rsidR="009738E4" w:rsidRPr="00B228A7" w:rsidRDefault="009738E4" w:rsidP="00EF7507">
      <w:pPr>
        <w:pStyle w:val="a3"/>
        <w:spacing w:line="288" w:lineRule="auto"/>
        <w:ind w:firstLine="709"/>
        <w:contextualSpacing/>
        <w:rPr>
          <w:sz w:val="26"/>
          <w:szCs w:val="26"/>
          <w:lang w:val="ru-RU"/>
        </w:rPr>
      </w:pPr>
      <w:r w:rsidRPr="00B228A7">
        <w:rPr>
          <w:b/>
          <w:sz w:val="26"/>
          <w:szCs w:val="26"/>
          <w:lang w:val="ru-RU"/>
        </w:rPr>
        <w:t>В расчете на 1000 человек населения</w:t>
      </w:r>
      <w:r w:rsidRPr="00B228A7">
        <w:rPr>
          <w:sz w:val="26"/>
          <w:szCs w:val="26"/>
          <w:lang w:val="ru-RU"/>
        </w:rPr>
        <w:t xml:space="preserve"> наибольшие объемы жилья (более </w:t>
      </w:r>
      <w:r w:rsidR="00E03EAE" w:rsidRPr="00B228A7">
        <w:rPr>
          <w:sz w:val="26"/>
          <w:szCs w:val="26"/>
          <w:lang w:val="ru-RU"/>
        </w:rPr>
        <w:t>5</w:t>
      </w:r>
      <w:r w:rsidRPr="00B228A7">
        <w:rPr>
          <w:sz w:val="26"/>
          <w:szCs w:val="26"/>
          <w:lang w:val="ru-RU"/>
        </w:rPr>
        <w:t xml:space="preserve">00 кв. метров) введены в </w:t>
      </w:r>
      <w:proofErr w:type="spellStart"/>
      <w:r w:rsidR="00B228A7" w:rsidRPr="00B228A7">
        <w:rPr>
          <w:sz w:val="26"/>
          <w:szCs w:val="26"/>
          <w:lang w:val="ru-RU"/>
        </w:rPr>
        <w:t>Чурапчинском</w:t>
      </w:r>
      <w:proofErr w:type="spellEnd"/>
      <w:r w:rsidR="00B228A7" w:rsidRPr="00B228A7">
        <w:rPr>
          <w:sz w:val="26"/>
          <w:szCs w:val="26"/>
          <w:lang w:val="ru-RU"/>
        </w:rPr>
        <w:t xml:space="preserve"> районе (717,9 кв.м.) и ГО</w:t>
      </w:r>
      <w:r w:rsidRPr="00B228A7">
        <w:rPr>
          <w:sz w:val="26"/>
          <w:szCs w:val="26"/>
          <w:lang w:val="ru-RU"/>
        </w:rPr>
        <w:t xml:space="preserve"> «Город Якутск» (</w:t>
      </w:r>
      <w:r w:rsidR="00B228A7" w:rsidRPr="00B228A7">
        <w:rPr>
          <w:sz w:val="26"/>
          <w:szCs w:val="26"/>
          <w:lang w:val="ru-RU"/>
        </w:rPr>
        <w:t>501,8</w:t>
      </w:r>
      <w:r w:rsidRPr="00B228A7">
        <w:rPr>
          <w:sz w:val="26"/>
          <w:szCs w:val="26"/>
          <w:lang w:val="ru-RU"/>
        </w:rPr>
        <w:t xml:space="preserve"> кв.м.)</w:t>
      </w:r>
      <w:r w:rsidR="00B228A7" w:rsidRPr="00B228A7">
        <w:rPr>
          <w:sz w:val="26"/>
          <w:szCs w:val="26"/>
          <w:lang w:val="ru-RU"/>
        </w:rPr>
        <w:t>.</w:t>
      </w:r>
    </w:p>
    <w:p w:rsidR="009738E4" w:rsidRPr="00B228A7" w:rsidRDefault="009738E4" w:rsidP="007D0EE4">
      <w:pPr>
        <w:pStyle w:val="a3"/>
        <w:ind w:firstLine="0"/>
        <w:contextualSpacing/>
        <w:jc w:val="center"/>
        <w:rPr>
          <w:b/>
          <w:sz w:val="28"/>
          <w:szCs w:val="28"/>
          <w:lang w:val="ru-RU"/>
        </w:rPr>
      </w:pPr>
    </w:p>
    <w:p w:rsidR="000E271D" w:rsidRPr="00B228A7" w:rsidRDefault="007D0EE4" w:rsidP="007D0EE4">
      <w:pPr>
        <w:pStyle w:val="a3"/>
        <w:ind w:firstLine="0"/>
        <w:contextualSpacing/>
        <w:jc w:val="center"/>
        <w:rPr>
          <w:b/>
          <w:sz w:val="28"/>
          <w:szCs w:val="28"/>
          <w:lang w:val="ru-RU"/>
        </w:rPr>
      </w:pPr>
      <w:r w:rsidRPr="00B228A7">
        <w:rPr>
          <w:b/>
          <w:sz w:val="28"/>
          <w:szCs w:val="28"/>
          <w:lang w:val="ru-RU"/>
        </w:rPr>
        <w:t>Ввод в действие жилых домов на 1000 человек населения</w:t>
      </w:r>
    </w:p>
    <w:p w:rsidR="007D0EE4" w:rsidRPr="00B228A7" w:rsidRDefault="007D0EE4" w:rsidP="007D0EE4">
      <w:pPr>
        <w:pStyle w:val="a3"/>
        <w:ind w:firstLine="0"/>
        <w:contextualSpacing/>
        <w:jc w:val="center"/>
        <w:rPr>
          <w:b/>
          <w:sz w:val="28"/>
          <w:szCs w:val="28"/>
          <w:lang w:val="ru-RU"/>
        </w:rPr>
      </w:pPr>
      <w:r w:rsidRPr="00B228A7">
        <w:rPr>
          <w:b/>
          <w:sz w:val="28"/>
          <w:szCs w:val="28"/>
          <w:lang w:val="ru-RU"/>
        </w:rPr>
        <w:t xml:space="preserve"> за </w:t>
      </w:r>
      <w:r w:rsidR="00B228A7" w:rsidRPr="00B228A7">
        <w:rPr>
          <w:b/>
          <w:sz w:val="28"/>
          <w:szCs w:val="28"/>
          <w:lang w:val="ru-RU"/>
        </w:rPr>
        <w:t xml:space="preserve">январь-октябрь </w:t>
      </w:r>
      <w:r w:rsidRPr="00B228A7">
        <w:rPr>
          <w:b/>
          <w:sz w:val="28"/>
          <w:szCs w:val="28"/>
          <w:lang w:val="ru-RU"/>
        </w:rPr>
        <w:t>20</w:t>
      </w:r>
      <w:r w:rsidR="00B228A7" w:rsidRPr="00B228A7">
        <w:rPr>
          <w:b/>
          <w:sz w:val="28"/>
          <w:szCs w:val="28"/>
          <w:lang w:val="ru-RU"/>
        </w:rPr>
        <w:t>20</w:t>
      </w:r>
      <w:r w:rsidRPr="00B228A7">
        <w:rPr>
          <w:b/>
          <w:sz w:val="28"/>
          <w:szCs w:val="28"/>
          <w:lang w:val="ru-RU"/>
        </w:rPr>
        <w:t xml:space="preserve"> год</w:t>
      </w:r>
      <w:r w:rsidR="00B228A7" w:rsidRPr="00B228A7">
        <w:rPr>
          <w:b/>
          <w:sz w:val="28"/>
          <w:szCs w:val="28"/>
          <w:lang w:val="ru-RU"/>
        </w:rPr>
        <w:t>а</w:t>
      </w:r>
    </w:p>
    <w:p w:rsidR="007D0EE4" w:rsidRPr="00B228A7" w:rsidRDefault="007D0EE4" w:rsidP="007D0EE4">
      <w:pPr>
        <w:pStyle w:val="a3"/>
        <w:tabs>
          <w:tab w:val="left" w:pos="284"/>
        </w:tabs>
        <w:ind w:firstLine="0"/>
        <w:contextualSpacing/>
        <w:jc w:val="center"/>
        <w:rPr>
          <w:sz w:val="20"/>
          <w:szCs w:val="24"/>
          <w:lang w:val="ru-RU"/>
        </w:rPr>
      </w:pPr>
      <w:r w:rsidRPr="00B228A7">
        <w:rPr>
          <w:sz w:val="20"/>
          <w:szCs w:val="24"/>
          <w:lang w:val="ru-RU"/>
        </w:rPr>
        <w:t>(квадратных метров общей площади)</w:t>
      </w:r>
    </w:p>
    <w:p w:rsidR="000E271D" w:rsidRPr="00315E8F" w:rsidRDefault="00B228A7" w:rsidP="007D0EE4">
      <w:pPr>
        <w:pStyle w:val="a3"/>
        <w:tabs>
          <w:tab w:val="left" w:pos="284"/>
        </w:tabs>
        <w:ind w:firstLine="0"/>
        <w:contextualSpacing/>
        <w:jc w:val="center"/>
        <w:rPr>
          <w:color w:val="FF0000"/>
          <w:sz w:val="20"/>
          <w:szCs w:val="24"/>
          <w:lang w:val="ru-RU"/>
        </w:rPr>
      </w:pPr>
      <w:r w:rsidRPr="00B228A7">
        <w:rPr>
          <w:noProof/>
          <w:color w:val="FF0000"/>
          <w:sz w:val="20"/>
          <w:szCs w:val="24"/>
          <w:lang w:val="ru-RU"/>
        </w:rPr>
        <w:drawing>
          <wp:inline distT="0" distB="0" distL="0" distR="0">
            <wp:extent cx="6152515" cy="3463290"/>
            <wp:effectExtent l="0" t="0" r="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4C03" w:rsidRPr="000E4E2A" w:rsidRDefault="001C4C03" w:rsidP="007D0EE4">
      <w:pPr>
        <w:pStyle w:val="a3"/>
        <w:tabs>
          <w:tab w:val="left" w:pos="284"/>
        </w:tabs>
        <w:ind w:firstLine="0"/>
        <w:contextualSpacing/>
        <w:jc w:val="center"/>
        <w:rPr>
          <w:color w:val="FF0000"/>
          <w:sz w:val="20"/>
          <w:szCs w:val="24"/>
        </w:rPr>
      </w:pPr>
    </w:p>
    <w:sectPr w:rsidR="001C4C03" w:rsidRPr="000E4E2A" w:rsidSect="00EF7507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D64" w:rsidRDefault="00055D64" w:rsidP="00EF7507">
      <w:r>
        <w:separator/>
      </w:r>
    </w:p>
  </w:endnote>
  <w:endnote w:type="continuationSeparator" w:id="1">
    <w:p w:rsidR="00055D64" w:rsidRDefault="00055D64" w:rsidP="00EF7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D64" w:rsidRDefault="00055D64" w:rsidP="00EF7507">
      <w:r>
        <w:separator/>
      </w:r>
    </w:p>
  </w:footnote>
  <w:footnote w:type="continuationSeparator" w:id="1">
    <w:p w:rsidR="00055D64" w:rsidRDefault="00055D64" w:rsidP="00EF7507">
      <w:r>
        <w:continuationSeparator/>
      </w:r>
    </w:p>
  </w:footnote>
  <w:footnote w:id="2">
    <w:p w:rsidR="00055D64" w:rsidRPr="00EF7507" w:rsidRDefault="00055D64" w:rsidP="00273113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 w:rsidRPr="00EF7507">
        <w:rPr>
          <w:lang w:val="ru-RU"/>
        </w:rPr>
        <w:t xml:space="preserve"> Начиная с августа 2019 года, в объем жилищного строительства включаются жилые дома, построенные населением на земельных участках, предназначенных для ведения садоводства. Ранее такие дома не учитывались. Изменения связаны с тем, что в полном объеме начали действовать нормы Федерального закона от 29.07.2017 </w:t>
      </w:r>
      <w:r>
        <w:rPr>
          <w:lang w:val="ru-RU"/>
        </w:rPr>
        <w:br/>
      </w:r>
      <w:r w:rsidRPr="00EF7507">
        <w:rPr>
          <w:lang w:val="ru-RU"/>
        </w:rPr>
        <w:t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В целях обеспечения сопоставимости с предыдущими периодами темпы роста рассчитаны без учета жилых домов, построенных на земельных участках, предназначенных для ведения гражданами садоводства</w:t>
      </w:r>
      <w:r>
        <w:rPr>
          <w:lang w:val="ru-RU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EE4"/>
    <w:rsid w:val="00055D64"/>
    <w:rsid w:val="00096AB1"/>
    <w:rsid w:val="000B6FBF"/>
    <w:rsid w:val="000E271D"/>
    <w:rsid w:val="000E4E2A"/>
    <w:rsid w:val="00152902"/>
    <w:rsid w:val="00165A19"/>
    <w:rsid w:val="001C4C03"/>
    <w:rsid w:val="001C78FB"/>
    <w:rsid w:val="001D1D59"/>
    <w:rsid w:val="00215887"/>
    <w:rsid w:val="00273113"/>
    <w:rsid w:val="002E2DD7"/>
    <w:rsid w:val="002E36A6"/>
    <w:rsid w:val="00315E8F"/>
    <w:rsid w:val="00317155"/>
    <w:rsid w:val="00392E96"/>
    <w:rsid w:val="003C71C0"/>
    <w:rsid w:val="004103E1"/>
    <w:rsid w:val="00434C5D"/>
    <w:rsid w:val="004D2BD1"/>
    <w:rsid w:val="00535E7B"/>
    <w:rsid w:val="00555CE4"/>
    <w:rsid w:val="00591BDB"/>
    <w:rsid w:val="005A1A1B"/>
    <w:rsid w:val="005B56C5"/>
    <w:rsid w:val="007740F8"/>
    <w:rsid w:val="007C120D"/>
    <w:rsid w:val="007C4037"/>
    <w:rsid w:val="007D0EE4"/>
    <w:rsid w:val="00874CF6"/>
    <w:rsid w:val="0093339B"/>
    <w:rsid w:val="009738E4"/>
    <w:rsid w:val="00974E3F"/>
    <w:rsid w:val="009972A7"/>
    <w:rsid w:val="009A0509"/>
    <w:rsid w:val="009A25E7"/>
    <w:rsid w:val="009B28C4"/>
    <w:rsid w:val="009C1B30"/>
    <w:rsid w:val="009D795F"/>
    <w:rsid w:val="00A14C33"/>
    <w:rsid w:val="00A23276"/>
    <w:rsid w:val="00A348F6"/>
    <w:rsid w:val="00A36DEF"/>
    <w:rsid w:val="00AA4C6A"/>
    <w:rsid w:val="00B228A7"/>
    <w:rsid w:val="00B31720"/>
    <w:rsid w:val="00B46D7A"/>
    <w:rsid w:val="00B9128D"/>
    <w:rsid w:val="00C73A7D"/>
    <w:rsid w:val="00D44B0E"/>
    <w:rsid w:val="00D90D14"/>
    <w:rsid w:val="00DD5901"/>
    <w:rsid w:val="00E03EAE"/>
    <w:rsid w:val="00E80573"/>
    <w:rsid w:val="00E91F82"/>
    <w:rsid w:val="00E97366"/>
    <w:rsid w:val="00EF7507"/>
    <w:rsid w:val="00F17E26"/>
    <w:rsid w:val="00F24DF0"/>
    <w:rsid w:val="00F46D1D"/>
    <w:rsid w:val="00F7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КДЗаг2"/>
    <w:rsid w:val="007D0EE4"/>
    <w:pPr>
      <w:spacing w:after="0" w:line="240" w:lineRule="auto"/>
      <w:jc w:val="center"/>
    </w:pPr>
    <w:rPr>
      <w:rFonts w:ascii="Arial" w:eastAsia="Times New Roman" w:hAnsi="Arial" w:cs="Times New Roman"/>
      <w:b/>
      <w:noProof/>
      <w:szCs w:val="20"/>
      <w:lang w:eastAsia="ru-RU"/>
    </w:rPr>
  </w:style>
  <w:style w:type="paragraph" w:customStyle="1" w:styleId="a3">
    <w:name w:val="КД_Абз"/>
    <w:basedOn w:val="a"/>
    <w:link w:val="a4"/>
    <w:rsid w:val="007D0EE4"/>
    <w:pPr>
      <w:ind w:firstLine="720"/>
      <w:jc w:val="both"/>
    </w:pPr>
    <w:rPr>
      <w:sz w:val="22"/>
    </w:rPr>
  </w:style>
  <w:style w:type="character" w:customStyle="1" w:styleId="a4">
    <w:name w:val="КД_Абз Знак"/>
    <w:basedOn w:val="a0"/>
    <w:link w:val="a3"/>
    <w:locked/>
    <w:rsid w:val="007D0EE4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5">
    <w:name w:val="Plain Text"/>
    <w:basedOn w:val="a"/>
    <w:link w:val="a6"/>
    <w:rsid w:val="007D0EE4"/>
    <w:rPr>
      <w:sz w:val="28"/>
      <w:szCs w:val="28"/>
      <w:lang w:val="ru-RU"/>
    </w:rPr>
  </w:style>
  <w:style w:type="character" w:customStyle="1" w:styleId="a6">
    <w:name w:val="Текст Знак"/>
    <w:basedOn w:val="a0"/>
    <w:link w:val="a5"/>
    <w:rsid w:val="007D0E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aliases w:val="Основной текст 1,Нумерованный список !!,Основной текст с отступом2"/>
    <w:basedOn w:val="a"/>
    <w:link w:val="a8"/>
    <w:rsid w:val="007D0EE4"/>
    <w:pPr>
      <w:spacing w:line="288" w:lineRule="auto"/>
      <w:ind w:firstLine="709"/>
      <w:jc w:val="both"/>
    </w:pPr>
    <w:rPr>
      <w:sz w:val="22"/>
      <w:lang w:val="ru-RU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Основной текст с отступом2 Знак"/>
    <w:basedOn w:val="a0"/>
    <w:link w:val="a7"/>
    <w:rsid w:val="007D0EE4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17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720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ab">
    <w:name w:val="КДШт"/>
    <w:rsid w:val="00B9128D"/>
    <w:pPr>
      <w:spacing w:after="0" w:line="240" w:lineRule="auto"/>
      <w:jc w:val="center"/>
    </w:pPr>
    <w:rPr>
      <w:rFonts w:ascii="Times New Roman" w:eastAsia="Times New Roman" w:hAnsi="Times New Roman" w:cs="Times New Roman"/>
      <w:i/>
      <w:noProof/>
      <w:sz w:val="20"/>
      <w:szCs w:val="20"/>
      <w:lang w:eastAsia="ru-RU"/>
    </w:rPr>
  </w:style>
  <w:style w:type="paragraph" w:customStyle="1" w:styleId="Default">
    <w:name w:val="Default"/>
    <w:rsid w:val="009738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F7507"/>
  </w:style>
  <w:style w:type="character" w:customStyle="1" w:styleId="ad">
    <w:name w:val="Текст сноски Знак"/>
    <w:basedOn w:val="a0"/>
    <w:link w:val="ac"/>
    <w:uiPriority w:val="99"/>
    <w:semiHidden/>
    <w:rsid w:val="00EF750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footnote reference"/>
    <w:basedOn w:val="a0"/>
    <w:uiPriority w:val="99"/>
    <w:semiHidden/>
    <w:unhideWhenUsed/>
    <w:rsid w:val="00EF75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P14_BuryachenkoOA\Downloads\8318_nodsp_f1c832f8-2809-41ca-9551-92756b6b1ca6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P14_BuryachenkoOA\Downloads\8318_nodsp_f1c832f8-2809-41ca-9551-92756b6b1ca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8506126573750593E-2"/>
          <c:y val="4.3052837573385523E-2"/>
          <c:w val="0.88796446166154364"/>
          <c:h val="0.45980387868183142"/>
        </c:manualLayout>
      </c:layout>
      <c:barChart>
        <c:barDir val="col"/>
        <c:grouping val="clustered"/>
        <c:ser>
          <c:idx val="0"/>
          <c:order val="0"/>
          <c:tx>
            <c:strRef>
              <c:f>Лист2!$B$2</c:f>
              <c:strCache>
                <c:ptCount val="1"/>
                <c:pt idx="0">
                  <c:v>январь-октябрь 2020 г.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strRef>
              <c:f>Лист2!$A$3:$A$36</c:f>
              <c:strCache>
                <c:ptCount val="34"/>
                <c:pt idx="0">
                  <c:v>    Чурапчинский </c:v>
                </c:pt>
                <c:pt idx="1">
                  <c:v>    Мегино-Кангаласский </c:v>
                </c:pt>
                <c:pt idx="2">
                  <c:v>    Хангаласский </c:v>
                </c:pt>
                <c:pt idx="3">
                  <c:v>    Сунтарский </c:v>
                </c:pt>
                <c:pt idx="4">
                  <c:v>    Нюрбинский </c:v>
                </c:pt>
                <c:pt idx="5">
                  <c:v>    Намский </c:v>
                </c:pt>
                <c:pt idx="6">
                  <c:v>    Верхневилюйский </c:v>
                </c:pt>
                <c:pt idx="7">
                  <c:v>    Таттинский </c:v>
                </c:pt>
                <c:pt idx="8">
                  <c:v>    Амгинский </c:v>
                </c:pt>
                <c:pt idx="9">
                  <c:v>    Алданский </c:v>
                </c:pt>
                <c:pt idx="10">
                  <c:v>    Олекминский </c:v>
                </c:pt>
                <c:pt idx="11">
                  <c:v>    Ленский </c:v>
                </c:pt>
                <c:pt idx="12">
                  <c:v>    Усть-Алданский </c:v>
                </c:pt>
                <c:pt idx="13">
                  <c:v>    Вилюйский </c:v>
                </c:pt>
                <c:pt idx="14">
                  <c:v>    Горный </c:v>
                </c:pt>
                <c:pt idx="15">
                  <c:v>    Среднеколымский</c:v>
                </c:pt>
                <c:pt idx="16">
                  <c:v>    Булунский </c:v>
                </c:pt>
                <c:pt idx="17">
                  <c:v>    Кобяйский</c:v>
                </c:pt>
                <c:pt idx="18">
                  <c:v>                ГО  "Жатай"</c:v>
                </c:pt>
                <c:pt idx="19">
                  <c:v>    Усть-Майский </c:v>
                </c:pt>
                <c:pt idx="20">
                  <c:v>    Эвено-Бытантайский </c:v>
                </c:pt>
                <c:pt idx="21">
                  <c:v>    Анабарский</c:v>
                </c:pt>
                <c:pt idx="22">
                  <c:v>    Мирнинский </c:v>
                </c:pt>
                <c:pt idx="23">
                  <c:v>    Верхоянский </c:v>
                </c:pt>
                <c:pt idx="24">
                  <c:v>    Усть-Янский </c:v>
                </c:pt>
                <c:pt idx="25">
                  <c:v>    Нерюнгринский </c:v>
                </c:pt>
                <c:pt idx="26">
                  <c:v>    Момский </c:v>
                </c:pt>
                <c:pt idx="27">
                  <c:v>    Оймяконский </c:v>
                </c:pt>
                <c:pt idx="28">
                  <c:v>    Оленёкский </c:v>
                </c:pt>
                <c:pt idx="29">
                  <c:v>    Жиганский</c:v>
                </c:pt>
                <c:pt idx="30">
                  <c:v>    Томпонский </c:v>
                </c:pt>
                <c:pt idx="31">
                  <c:v>    Абыйский </c:v>
                </c:pt>
                <c:pt idx="32">
                  <c:v>    Нижнеколымский </c:v>
                </c:pt>
                <c:pt idx="33">
                  <c:v>    Верхнеколымский </c:v>
                </c:pt>
              </c:strCache>
            </c:strRef>
          </c:cat>
          <c:val>
            <c:numRef>
              <c:f>Лист2!$B$3:$B$36</c:f>
              <c:numCache>
                <c:formatCode>#,##0;\-#,##0</c:formatCode>
                <c:ptCount val="34"/>
                <c:pt idx="0">
                  <c:v>15076</c:v>
                </c:pt>
                <c:pt idx="1">
                  <c:v>12861</c:v>
                </c:pt>
                <c:pt idx="2">
                  <c:v>11706</c:v>
                </c:pt>
                <c:pt idx="3">
                  <c:v>10715</c:v>
                </c:pt>
                <c:pt idx="4">
                  <c:v>9469</c:v>
                </c:pt>
                <c:pt idx="5">
                  <c:v>9116</c:v>
                </c:pt>
                <c:pt idx="6">
                  <c:v>8323</c:v>
                </c:pt>
                <c:pt idx="7">
                  <c:v>6714</c:v>
                </c:pt>
                <c:pt idx="8">
                  <c:v>6479</c:v>
                </c:pt>
                <c:pt idx="9">
                  <c:v>6180</c:v>
                </c:pt>
                <c:pt idx="10">
                  <c:v>5286</c:v>
                </c:pt>
                <c:pt idx="11">
                  <c:v>5090</c:v>
                </c:pt>
                <c:pt idx="12">
                  <c:v>4962</c:v>
                </c:pt>
                <c:pt idx="13">
                  <c:v>4872</c:v>
                </c:pt>
                <c:pt idx="14">
                  <c:v>3791</c:v>
                </c:pt>
                <c:pt idx="15">
                  <c:v>2874</c:v>
                </c:pt>
                <c:pt idx="16">
                  <c:v>2146</c:v>
                </c:pt>
                <c:pt idx="17">
                  <c:v>1966</c:v>
                </c:pt>
                <c:pt idx="18">
                  <c:v>1544</c:v>
                </c:pt>
                <c:pt idx="19">
                  <c:v>1334</c:v>
                </c:pt>
                <c:pt idx="20">
                  <c:v>1330</c:v>
                </c:pt>
                <c:pt idx="21">
                  <c:v>1275</c:v>
                </c:pt>
                <c:pt idx="22">
                  <c:v>1261</c:v>
                </c:pt>
                <c:pt idx="23">
                  <c:v>1000</c:v>
                </c:pt>
                <c:pt idx="24">
                  <c:v>816</c:v>
                </c:pt>
                <c:pt idx="25">
                  <c:v>742</c:v>
                </c:pt>
                <c:pt idx="26">
                  <c:v>697</c:v>
                </c:pt>
                <c:pt idx="27">
                  <c:v>556</c:v>
                </c:pt>
                <c:pt idx="28">
                  <c:v>537</c:v>
                </c:pt>
                <c:pt idx="29">
                  <c:v>527</c:v>
                </c:pt>
                <c:pt idx="30">
                  <c:v>527</c:v>
                </c:pt>
                <c:pt idx="31">
                  <c:v>176</c:v>
                </c:pt>
                <c:pt idx="32">
                  <c:v>172</c:v>
                </c:pt>
                <c:pt idx="33">
                  <c:v>80</c:v>
                </c:pt>
              </c:numCache>
            </c:numRef>
          </c:val>
        </c:ser>
        <c:axId val="83829888"/>
        <c:axId val="83831424"/>
      </c:barChart>
      <c:catAx>
        <c:axId val="8382988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831424"/>
        <c:crosses val="autoZero"/>
        <c:auto val="1"/>
        <c:lblAlgn val="ctr"/>
        <c:lblOffset val="100"/>
      </c:catAx>
      <c:valAx>
        <c:axId val="83831424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#,##0;\-#,##0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829888"/>
        <c:crosses val="autoZero"/>
        <c:crossBetween val="between"/>
      </c:valAx>
      <c:spPr>
        <a:ln>
          <a:noFill/>
        </a:ln>
      </c:spPr>
    </c:plotArea>
    <c:legend>
      <c:legendPos val="b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338987082808058E-2"/>
          <c:y val="3.7037037037037056E-2"/>
          <c:w val="0.89518297372949229"/>
          <c:h val="0.5141853422168383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75000"/>
              </a:schemeClr>
            </a:solidFill>
          </c:spPr>
          <c:cat>
            <c:strRef>
              <c:f>Лист3!$A$1:$A$35</c:f>
              <c:strCache>
                <c:ptCount val="35"/>
                <c:pt idx="0">
                  <c:v>    Чурапчинский </c:v>
                </c:pt>
                <c:pt idx="1">
                  <c:v>                ГО  "город Якутск"</c:v>
                </c:pt>
                <c:pt idx="2">
                  <c:v>    Эвено-Бытантайский </c:v>
                </c:pt>
                <c:pt idx="3">
                  <c:v>    Сунтарский </c:v>
                </c:pt>
                <c:pt idx="4">
                  <c:v>    Мегино-Кангаласский </c:v>
                </c:pt>
                <c:pt idx="5">
                  <c:v>    Таттинский </c:v>
                </c:pt>
                <c:pt idx="6">
                  <c:v>    Нюрбинский</c:v>
                </c:pt>
                <c:pt idx="7">
                  <c:v>    Верхневилюйский </c:v>
                </c:pt>
                <c:pt idx="8">
                  <c:v>    Среднеколымский </c:v>
                </c:pt>
                <c:pt idx="9">
                  <c:v>    Амгинский </c:v>
                </c:pt>
                <c:pt idx="10">
                  <c:v>    Намский </c:v>
                </c:pt>
                <c:pt idx="11">
                  <c:v>    Хангаласский </c:v>
                </c:pt>
                <c:pt idx="12">
                  <c:v>    Анабарский </c:v>
                </c:pt>
                <c:pt idx="13">
                  <c:v>    Горный </c:v>
                </c:pt>
                <c:pt idx="14">
                  <c:v>    Булунский </c:v>
                </c:pt>
                <c:pt idx="15">
                  <c:v>    Усть-Алданский </c:v>
                </c:pt>
                <c:pt idx="16">
                  <c:v>    Олекминский </c:v>
                </c:pt>
                <c:pt idx="17">
                  <c:v>    Вилюйский </c:v>
                </c:pt>
                <c:pt idx="18">
                  <c:v>    Усть-Майский </c:v>
                </c:pt>
                <c:pt idx="19">
                  <c:v>    Момский </c:v>
                </c:pt>
                <c:pt idx="20">
                  <c:v>    Кобяйский </c:v>
                </c:pt>
                <c:pt idx="21">
                  <c:v>    Алданский</c:v>
                </c:pt>
                <c:pt idx="22">
                  <c:v>                ГО  "Жатай"</c:v>
                </c:pt>
                <c:pt idx="23">
                  <c:v>    Ленский </c:v>
                </c:pt>
                <c:pt idx="24">
                  <c:v>    Жиганский </c:v>
                </c:pt>
                <c:pt idx="25">
                  <c:v>    Оленёкский </c:v>
                </c:pt>
                <c:pt idx="26">
                  <c:v>    Усть-Янский </c:v>
                </c:pt>
                <c:pt idx="27">
                  <c:v>    Верхоянский </c:v>
                </c:pt>
                <c:pt idx="28">
                  <c:v>    Оймяконский</c:v>
                </c:pt>
                <c:pt idx="29">
                  <c:v>    Абыйский </c:v>
                </c:pt>
                <c:pt idx="30">
                  <c:v>    Томпонский</c:v>
                </c:pt>
                <c:pt idx="31">
                  <c:v>    Нижнеколымский </c:v>
                </c:pt>
                <c:pt idx="32">
                  <c:v>    Верхнеколымский </c:v>
                </c:pt>
                <c:pt idx="33">
                  <c:v>    Мирнинский </c:v>
                </c:pt>
                <c:pt idx="34">
                  <c:v>    Нерюнгринский </c:v>
                </c:pt>
              </c:strCache>
            </c:strRef>
          </c:cat>
          <c:val>
            <c:numRef>
              <c:f>Лист3!$B$1:$B$35</c:f>
              <c:numCache>
                <c:formatCode>#,##0.0;\-#,##0.0;</c:formatCode>
                <c:ptCount val="35"/>
                <c:pt idx="0">
                  <c:v>717.9</c:v>
                </c:pt>
                <c:pt idx="1">
                  <c:v>501.8</c:v>
                </c:pt>
                <c:pt idx="2">
                  <c:v>467.5</c:v>
                </c:pt>
                <c:pt idx="3">
                  <c:v>457.4</c:v>
                </c:pt>
                <c:pt idx="4">
                  <c:v>416.1</c:v>
                </c:pt>
                <c:pt idx="5">
                  <c:v>414.8</c:v>
                </c:pt>
                <c:pt idx="6">
                  <c:v>401</c:v>
                </c:pt>
                <c:pt idx="7">
                  <c:v>396</c:v>
                </c:pt>
                <c:pt idx="8">
                  <c:v>392</c:v>
                </c:pt>
                <c:pt idx="9">
                  <c:v>385.8</c:v>
                </c:pt>
                <c:pt idx="10">
                  <c:v>366.3</c:v>
                </c:pt>
                <c:pt idx="11">
                  <c:v>356.4</c:v>
                </c:pt>
                <c:pt idx="12">
                  <c:v>349</c:v>
                </c:pt>
                <c:pt idx="13">
                  <c:v>313.2</c:v>
                </c:pt>
                <c:pt idx="14">
                  <c:v>252.1</c:v>
                </c:pt>
                <c:pt idx="15">
                  <c:v>242.5</c:v>
                </c:pt>
                <c:pt idx="16">
                  <c:v>215.8</c:v>
                </c:pt>
                <c:pt idx="17">
                  <c:v>195</c:v>
                </c:pt>
                <c:pt idx="18">
                  <c:v>178.4</c:v>
                </c:pt>
                <c:pt idx="19">
                  <c:v>175.4</c:v>
                </c:pt>
                <c:pt idx="20">
                  <c:v>162</c:v>
                </c:pt>
                <c:pt idx="21">
                  <c:v>157.9</c:v>
                </c:pt>
                <c:pt idx="22">
                  <c:v>149.1</c:v>
                </c:pt>
                <c:pt idx="23">
                  <c:v>140.1</c:v>
                </c:pt>
                <c:pt idx="24">
                  <c:v>128.19999999999999</c:v>
                </c:pt>
                <c:pt idx="25">
                  <c:v>126.4</c:v>
                </c:pt>
                <c:pt idx="26">
                  <c:v>116.4</c:v>
                </c:pt>
                <c:pt idx="27">
                  <c:v>90.4</c:v>
                </c:pt>
                <c:pt idx="28">
                  <c:v>70.599999999999994</c:v>
                </c:pt>
                <c:pt idx="29">
                  <c:v>44.6</c:v>
                </c:pt>
                <c:pt idx="30">
                  <c:v>42.1</c:v>
                </c:pt>
                <c:pt idx="31">
                  <c:v>40.4</c:v>
                </c:pt>
                <c:pt idx="32">
                  <c:v>20</c:v>
                </c:pt>
                <c:pt idx="33">
                  <c:v>17.5</c:v>
                </c:pt>
                <c:pt idx="34">
                  <c:v>10</c:v>
                </c:pt>
              </c:numCache>
            </c:numRef>
          </c:val>
        </c:ser>
        <c:axId val="84167680"/>
        <c:axId val="84189952"/>
      </c:barChart>
      <c:catAx>
        <c:axId val="8416768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189952"/>
        <c:crosses val="autoZero"/>
        <c:auto val="1"/>
        <c:lblAlgn val="ctr"/>
        <c:lblOffset val="100"/>
      </c:catAx>
      <c:valAx>
        <c:axId val="84189952"/>
        <c:scaling>
          <c:orientation val="minMax"/>
          <c:max val="800"/>
          <c:min val="0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#,##0.0;\-#,##0.0;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167680"/>
        <c:crosses val="autoZero"/>
        <c:crossBetween val="between"/>
        <c:majorUnit val="100"/>
      </c:valAx>
    </c:plotArea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0.58233</cdr:x>
      <cdr:y>0</cdr:y>
    </cdr:from>
    <cdr:to>
      <cdr:x>1</cdr:x>
      <cdr:y>0.09589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943350" y="0"/>
          <a:ext cx="2641600" cy="3111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ГО "Якутск" - 177,4 тыс. кв. метров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0.06915</cdr:x>
      <cdr:y>0.30803</cdr:y>
    </cdr:from>
    <cdr:to>
      <cdr:x>0.97327</cdr:x>
      <cdr:y>0.30849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425450" y="1066800"/>
          <a:ext cx="5562600" cy="1588"/>
        </a:xfrm>
        <a:prstGeom xmlns:a="http://schemas.openxmlformats.org/drawingml/2006/main" prst="line">
          <a:avLst/>
        </a:prstGeom>
        <a:ln xmlns:a="http://schemas.openxmlformats.org/drawingml/2006/main" w="254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0.74105</cdr:x>
      <cdr:y>0.13385</cdr:y>
    </cdr:from>
    <cdr:to>
      <cdr:x>0.96501</cdr:x>
      <cdr:y>0.25119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4559300" y="463550"/>
          <a:ext cx="1377950" cy="4064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900" i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Среднее</a:t>
          </a:r>
          <a:r>
            <a:rPr lang="ru-RU" sz="900" i="1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значение по РС(Я) - 319,6 кв.метров</a:t>
          </a:r>
          <a:endParaRPr lang="ru-RU" sz="900" i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0.6977</cdr:x>
      <cdr:y>0.19619</cdr:y>
    </cdr:from>
    <cdr:to>
      <cdr:x>0.73898</cdr:x>
      <cdr:y>0.3007</cdr:y>
    </cdr:to>
    <cdr:cxnSp macro="">
      <cdr:nvCxnSpPr>
        <cdr:cNvPr id="5" name="Shape 8"/>
        <cdr:cNvCxnSpPr/>
      </cdr:nvCxnSpPr>
      <cdr:spPr>
        <a:xfrm xmlns:a="http://schemas.openxmlformats.org/drawingml/2006/main" rot="10800000" flipV="1">
          <a:off x="4292600" y="679450"/>
          <a:ext cx="254000" cy="361950"/>
        </a:xfrm>
        <a:prstGeom xmlns:a="http://schemas.openxmlformats.org/drawingml/2006/main" prst="bentConnector2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4F81BD">
              <a:shade val="95000"/>
              <a:satMod val="105000"/>
            </a:srgbClr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6E38-80F7-49FD-9D7E-9D473046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Саха(Якутия)стат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P14_BuryachenkoOA</dc:creator>
  <cp:keywords/>
  <dc:description/>
  <cp:lastModifiedBy>P14_BuryachenkoOA</cp:lastModifiedBy>
  <cp:revision>23</cp:revision>
  <cp:lastPrinted>2020-11-23T02:46:00Z</cp:lastPrinted>
  <dcterms:created xsi:type="dcterms:W3CDTF">2018-11-29T10:00:00Z</dcterms:created>
  <dcterms:modified xsi:type="dcterms:W3CDTF">2020-11-23T05:59:00Z</dcterms:modified>
</cp:coreProperties>
</file>